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Override PartName="/customXml/itemProps1.xml" ContentType="application/vnd.openxmlformats-officedocument.customXmlProperties+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3B17" w:rsidRDefault="002450D5" w:rsidP="00B13B17">
      <w:pPr>
        <w:jc w:val="center"/>
        <w:rPr>
          <w:b/>
        </w:rPr>
      </w:pPr>
      <w:r>
        <w:rPr>
          <w:b/>
        </w:rPr>
        <w:t>University Technology Commercialization</w:t>
      </w:r>
      <w:r w:rsidR="00B13B17">
        <w:rPr>
          <w:b/>
        </w:rPr>
        <w:t xml:space="preserve"> Case Study</w:t>
      </w:r>
    </w:p>
    <w:p w:rsidR="002450D5" w:rsidRDefault="00A232EE" w:rsidP="00B13B17">
      <w:pPr>
        <w:jc w:val="center"/>
        <w:rPr>
          <w:b/>
        </w:rPr>
      </w:pPr>
      <w:proofErr w:type="gramStart"/>
      <w:r>
        <w:rPr>
          <w:b/>
        </w:rPr>
        <w:t>Febr</w:t>
      </w:r>
      <w:r w:rsidR="00B13B17">
        <w:rPr>
          <w:b/>
        </w:rPr>
        <w:t>uary</w:t>
      </w:r>
      <w:r>
        <w:rPr>
          <w:b/>
        </w:rPr>
        <w:t>,</w:t>
      </w:r>
      <w:proofErr w:type="gramEnd"/>
      <w:r w:rsidR="00B13B17">
        <w:rPr>
          <w:b/>
        </w:rPr>
        <w:t xml:space="preserve"> 2011</w:t>
      </w:r>
    </w:p>
    <w:p w:rsidR="002450D5" w:rsidRDefault="002450D5" w:rsidP="003F28C6">
      <w:pPr>
        <w:rPr>
          <w:b/>
        </w:rPr>
      </w:pPr>
    </w:p>
    <w:p w:rsidR="003F28C6" w:rsidRDefault="003F28C6" w:rsidP="003F28C6">
      <w:pPr>
        <w:rPr>
          <w:b/>
        </w:rPr>
      </w:pPr>
    </w:p>
    <w:p w:rsidR="002450D5" w:rsidRPr="007B38D7" w:rsidRDefault="002450D5" w:rsidP="003F28C6">
      <w:pPr>
        <w:rPr>
          <w:b/>
        </w:rPr>
      </w:pPr>
      <w:r>
        <w:rPr>
          <w:b/>
        </w:rPr>
        <w:t xml:space="preserve">Introduction </w:t>
      </w:r>
    </w:p>
    <w:p w:rsidR="00B13B17" w:rsidRDefault="00B13B17" w:rsidP="003F28C6"/>
    <w:p w:rsidR="002450D5" w:rsidRDefault="002450D5" w:rsidP="003F28C6">
      <w:r>
        <w:tab/>
      </w:r>
      <w:r w:rsidR="003F28C6">
        <w:t>The patenting of university</w:t>
      </w:r>
      <w:r>
        <w:t xml:space="preserve"> research can be big business. </w:t>
      </w:r>
      <w:r w:rsidR="00A232EE">
        <w:t xml:space="preserve"> </w:t>
      </w:r>
      <w:r>
        <w:t xml:space="preserve">In 2007, </w:t>
      </w:r>
      <w:proofErr w:type="gramStart"/>
      <w:r w:rsidR="00A232EE">
        <w:t xml:space="preserve">technology </w:t>
      </w:r>
      <w:r>
        <w:t>licensing</w:t>
      </w:r>
      <w:proofErr w:type="gramEnd"/>
      <w:r>
        <w:t xml:space="preserve"> revenues generated by the top ten universities alone accounted for </w:t>
      </w:r>
      <w:r w:rsidR="003F28C6">
        <w:t>nearly $1.5</w:t>
      </w:r>
      <w:r>
        <w:t xml:space="preserve"> billion.</w:t>
      </w:r>
      <w:r>
        <w:rPr>
          <w:rStyle w:val="FootnoteReference"/>
        </w:rPr>
        <w:footnoteReference w:id="1"/>
      </w:r>
      <w:r>
        <w:t xml:space="preserve"> These impressive revenues </w:t>
      </w:r>
      <w:r w:rsidR="003F28C6">
        <w:t xml:space="preserve">were built upon </w:t>
      </w:r>
      <w:r>
        <w:t>a strong foundation of university</w:t>
      </w:r>
      <w:r w:rsidR="006F59B9">
        <w:t>-based</w:t>
      </w:r>
      <w:r>
        <w:t xml:space="preserve"> </w:t>
      </w:r>
      <w:r w:rsidR="00A232EE">
        <w:t>research and development.  T</w:t>
      </w:r>
      <w:r>
        <w:t xml:space="preserve">he </w:t>
      </w:r>
      <w:hyperlink r:id="rId7" w:history="1">
        <w:r w:rsidRPr="007B38D7">
          <w:rPr>
            <w:rStyle w:val="Hyperlink"/>
          </w:rPr>
          <w:t>National Science Board</w:t>
        </w:r>
      </w:hyperlink>
      <w:r w:rsidR="00A232EE">
        <w:t xml:space="preserve"> reported</w:t>
      </w:r>
      <w:r>
        <w:t xml:space="preserve"> that US academic institutions spent $48 billion on research and development in 2006, accounting for 33% of total research nationally.</w:t>
      </w:r>
      <w:r>
        <w:rPr>
          <w:rStyle w:val="FootnoteReference"/>
        </w:rPr>
        <w:footnoteReference w:id="2"/>
      </w:r>
      <w:r>
        <w:t xml:space="preserve"> </w:t>
      </w:r>
      <w:r w:rsidR="006F59B9">
        <w:t xml:space="preserve">As the licensing-revenue numbers indicate, this laboratory research can resonate powerfully in our everyday lives. </w:t>
      </w:r>
      <w:r w:rsidR="00A232EE">
        <w:t xml:space="preserve"> Large corporations</w:t>
      </w:r>
      <w:r>
        <w:t xml:space="preserve"> </w:t>
      </w:r>
      <w:r w:rsidR="006F59B9">
        <w:t>like</w:t>
      </w:r>
      <w:r>
        <w:t xml:space="preserve"> </w:t>
      </w:r>
      <w:hyperlink r:id="rId8" w:history="1">
        <w:r w:rsidRPr="006F59B9">
          <w:rPr>
            <w:rStyle w:val="Hyperlink"/>
          </w:rPr>
          <w:t>Google</w:t>
        </w:r>
      </w:hyperlink>
      <w:r w:rsidR="00A232EE">
        <w:t>,</w:t>
      </w:r>
      <w:r>
        <w:t xml:space="preserve"> </w:t>
      </w:r>
      <w:hyperlink r:id="rId9" w:history="1">
        <w:r w:rsidRPr="006F59B9">
          <w:rPr>
            <w:rStyle w:val="Hyperlink"/>
          </w:rPr>
          <w:t>Cirrus Logic</w:t>
        </w:r>
      </w:hyperlink>
      <w:r w:rsidR="00A232EE">
        <w:t>, and</w:t>
      </w:r>
      <w:r>
        <w:t xml:space="preserve"> </w:t>
      </w:r>
      <w:hyperlink r:id="rId10" w:history="1">
        <w:r w:rsidRPr="006F59B9">
          <w:rPr>
            <w:rStyle w:val="Hyperlink"/>
          </w:rPr>
          <w:t>Genentech</w:t>
        </w:r>
      </w:hyperlink>
      <w:r w:rsidR="006F59B9">
        <w:t xml:space="preserve"> have all</w:t>
      </w:r>
      <w:r>
        <w:t xml:space="preserve"> based their products on university-licensed intellectual property.</w:t>
      </w:r>
      <w:r>
        <w:rPr>
          <w:rStyle w:val="FootnoteReference"/>
        </w:rPr>
        <w:footnoteReference w:id="3"/>
      </w:r>
    </w:p>
    <w:p w:rsidR="00A232EE" w:rsidRDefault="00A232EE" w:rsidP="003F28C6"/>
    <w:p w:rsidR="002450D5" w:rsidRDefault="002450D5" w:rsidP="003F28C6">
      <w:r>
        <w:tab/>
        <w:t xml:space="preserve">The Cohen-Boyer patents for </w:t>
      </w:r>
      <w:hyperlink r:id="rId11" w:history="1">
        <w:r w:rsidRPr="004A3991">
          <w:rPr>
            <w:rStyle w:val="Hyperlink"/>
          </w:rPr>
          <w:t>recombinant DNA</w:t>
        </w:r>
      </w:hyperlink>
      <w:r>
        <w:t xml:space="preserve"> rank among the most revered and lucrative academic licenses in U.S. history. </w:t>
      </w:r>
      <w:r w:rsidR="00A232EE">
        <w:t xml:space="preserve"> These licenses were issued on a non-exclusive, rather than the conventional exclusive, basis.  D</w:t>
      </w:r>
      <w:r>
        <w:t xml:space="preserve">espite </w:t>
      </w:r>
      <w:r w:rsidR="00A232EE">
        <w:t>the impressive returns that it has generated</w:t>
      </w:r>
      <w:r>
        <w:t xml:space="preserve">, the Cohen-Boyer IP strategy of non-exclusive licensing pursued by </w:t>
      </w:r>
      <w:hyperlink r:id="rId12" w:history="1">
        <w:r w:rsidRPr="004A3991">
          <w:rPr>
            <w:rStyle w:val="Hyperlink"/>
          </w:rPr>
          <w:t>Stanford</w:t>
        </w:r>
      </w:hyperlink>
      <w:r>
        <w:t xml:space="preserve"> and the </w:t>
      </w:r>
      <w:hyperlink r:id="rId13" w:history="1">
        <w:r w:rsidRPr="004A3991">
          <w:rPr>
            <w:rStyle w:val="Hyperlink"/>
          </w:rPr>
          <w:t>University of California at San Francisco</w:t>
        </w:r>
      </w:hyperlink>
      <w:r w:rsidR="00A232EE">
        <w:t xml:space="preserve"> (UCSF) in the 1980s and 90s h</w:t>
      </w:r>
      <w:r>
        <w:t xml:space="preserve">as </w:t>
      </w:r>
      <w:r w:rsidR="00A232EE">
        <w:t xml:space="preserve">generally </w:t>
      </w:r>
      <w:r>
        <w:t>not</w:t>
      </w:r>
      <w:r w:rsidR="00A232EE">
        <w:t xml:space="preserve"> been</w:t>
      </w:r>
      <w:r>
        <w:t xml:space="preserve"> replicated in large part by universities throughout the United States. </w:t>
      </w:r>
      <w:r w:rsidR="00A232EE">
        <w:t xml:space="preserve"> </w:t>
      </w:r>
      <w:r>
        <w:t xml:space="preserve">Instead, exclusive licensing </w:t>
      </w:r>
      <w:r w:rsidR="00A232EE">
        <w:t>has beco</w:t>
      </w:r>
      <w:r>
        <w:t>me the norm throughout US research universities.</w:t>
      </w:r>
      <w:r>
        <w:rPr>
          <w:rStyle w:val="FootnoteReference"/>
        </w:rPr>
        <w:footnoteReference w:id="4"/>
      </w:r>
      <w:r>
        <w:t xml:space="preserve"> </w:t>
      </w:r>
      <w:r w:rsidR="00B13B17">
        <w:t xml:space="preserve"> This case study explores the </w:t>
      </w:r>
      <w:r>
        <w:t xml:space="preserve">incentive structures </w:t>
      </w:r>
      <w:r w:rsidR="006F59B9">
        <w:t xml:space="preserve">that characterize </w:t>
      </w:r>
      <w:r>
        <w:t xml:space="preserve">university settings </w:t>
      </w:r>
      <w:r w:rsidR="00B13B17">
        <w:t>through the lens of the Cohen-Boyer Patents</w:t>
      </w:r>
      <w:r>
        <w:t xml:space="preserve">. </w:t>
      </w:r>
    </w:p>
    <w:p w:rsidR="002450D5" w:rsidRDefault="002450D5" w:rsidP="003F28C6">
      <w:pPr>
        <w:tabs>
          <w:tab w:val="left" w:pos="2917"/>
        </w:tabs>
      </w:pPr>
    </w:p>
    <w:p w:rsidR="002450D5" w:rsidRDefault="002450D5" w:rsidP="003F28C6">
      <w:pPr>
        <w:tabs>
          <w:tab w:val="left" w:pos="2917"/>
        </w:tabs>
        <w:rPr>
          <w:b/>
        </w:rPr>
      </w:pPr>
      <w:r>
        <w:rPr>
          <w:b/>
        </w:rPr>
        <w:t>The Cohen-Boyer Patents</w:t>
      </w:r>
    </w:p>
    <w:p w:rsidR="00B13B17" w:rsidRDefault="00B13B17" w:rsidP="003F28C6">
      <w:pPr>
        <w:rPr>
          <w:b/>
        </w:rPr>
      </w:pPr>
    </w:p>
    <w:p w:rsidR="00A232EE" w:rsidRDefault="002450D5" w:rsidP="003F28C6">
      <w:r>
        <w:rPr>
          <w:b/>
        </w:rPr>
        <w:tab/>
      </w:r>
      <w:r>
        <w:t xml:space="preserve">In 1972, Professors </w:t>
      </w:r>
      <w:hyperlink r:id="rId14" w:history="1">
        <w:r w:rsidRPr="00FE3BDF">
          <w:rPr>
            <w:rStyle w:val="Hyperlink"/>
          </w:rPr>
          <w:t>Stanley Cohen</w:t>
        </w:r>
      </w:hyperlink>
      <w:r>
        <w:t xml:space="preserve"> of Stanford University and </w:t>
      </w:r>
      <w:hyperlink r:id="rId15" w:history="1">
        <w:r w:rsidRPr="00FE3BDF">
          <w:rPr>
            <w:rStyle w:val="Hyperlink"/>
          </w:rPr>
          <w:t>Herbert Boyer</w:t>
        </w:r>
      </w:hyperlink>
      <w:r>
        <w:t xml:space="preserve"> of UCSF </w:t>
      </w:r>
      <w:hyperlink r:id="rId16" w:history="1">
        <w:r w:rsidRPr="00FE3BDF">
          <w:rPr>
            <w:rStyle w:val="Hyperlink"/>
          </w:rPr>
          <w:t>met at an academic conference</w:t>
        </w:r>
      </w:hyperlink>
      <w:r>
        <w:t xml:space="preserve"> in Hawaii.</w:t>
      </w:r>
      <w:r>
        <w:rPr>
          <w:rStyle w:val="FootnoteReference"/>
        </w:rPr>
        <w:footnoteReference w:id="5"/>
      </w:r>
      <w:r>
        <w:t xml:space="preserve"> </w:t>
      </w:r>
      <w:r w:rsidR="00A232EE">
        <w:t xml:space="preserve"> </w:t>
      </w:r>
      <w:r>
        <w:t>Within a decade of</w:t>
      </w:r>
      <w:r w:rsidR="00A232EE">
        <w:t xml:space="preserve"> the start of their</w:t>
      </w:r>
      <w:r>
        <w:t xml:space="preserve"> collaboration, they had discovered a method for splicing strands of DNA from different organisms, known as recombinant DNA (rDNA). </w:t>
      </w:r>
      <w:r w:rsidR="00A232EE">
        <w:t xml:space="preserve"> </w:t>
      </w:r>
      <w:r>
        <w:t>The technology provi</w:t>
      </w:r>
      <w:r w:rsidR="00A232EE">
        <w:t xml:space="preserve">ded a key part of the foundation for the </w:t>
      </w:r>
      <w:r>
        <w:t>modern biotechnology industry</w:t>
      </w:r>
      <w:r>
        <w:rPr>
          <w:rStyle w:val="FootnoteReference"/>
        </w:rPr>
        <w:footnoteReference w:id="6"/>
      </w:r>
      <w:r>
        <w:t xml:space="preserve"> and several prominent pharmaceuticals that treat cancer, </w:t>
      </w:r>
      <w:r w:rsidR="006F59B9">
        <w:t xml:space="preserve">diabetes, </w:t>
      </w:r>
      <w:r>
        <w:t>HIV/AIDS and heart disease.</w:t>
      </w:r>
      <w:r>
        <w:rPr>
          <w:rStyle w:val="FootnoteReference"/>
        </w:rPr>
        <w:footnoteReference w:id="7"/>
      </w:r>
      <w:r w:rsidR="006F59B9">
        <w:t xml:space="preserve"> </w:t>
      </w:r>
      <w:r w:rsidR="00A232EE">
        <w:t xml:space="preserve"> </w:t>
      </w:r>
    </w:p>
    <w:p w:rsidR="00A232EE" w:rsidRDefault="00A232EE" w:rsidP="003F28C6"/>
    <w:p w:rsidR="00A232EE" w:rsidRDefault="006F59B9" w:rsidP="00A232EE">
      <w:pPr>
        <w:ind w:firstLine="720"/>
      </w:pPr>
      <w:r>
        <w:t xml:space="preserve">The first breakthrough occurred in 1977, when professor Boyer created </w:t>
      </w:r>
      <w:hyperlink r:id="rId17" w:history="1">
        <w:r w:rsidRPr="004A53CA">
          <w:rPr>
            <w:rStyle w:val="Hyperlink"/>
          </w:rPr>
          <w:t>human insulin</w:t>
        </w:r>
      </w:hyperlink>
      <w:r>
        <w:t xml:space="preserve"> in his laboratory</w:t>
      </w:r>
      <w:r w:rsidR="004A53CA">
        <w:t xml:space="preserve">.  The invention would become Genentech’s first product as Boyer </w:t>
      </w:r>
      <w:hyperlink r:id="rId18" w:history="1">
        <w:r w:rsidR="004A53CA" w:rsidRPr="004A53CA">
          <w:rPr>
            <w:rStyle w:val="Hyperlink"/>
          </w:rPr>
          <w:t>partnered</w:t>
        </w:r>
      </w:hyperlink>
      <w:r w:rsidR="004A53CA">
        <w:t xml:space="preserve"> with venture capitalist </w:t>
      </w:r>
      <w:hyperlink r:id="rId19" w:history="1">
        <w:r w:rsidR="004A53CA" w:rsidRPr="004A53CA">
          <w:rPr>
            <w:rStyle w:val="Hyperlink"/>
          </w:rPr>
          <w:t>Robert Swanson</w:t>
        </w:r>
      </w:hyperlink>
      <w:r w:rsidR="004A53CA">
        <w:t xml:space="preserve"> to found the company.</w:t>
      </w:r>
    </w:p>
    <w:p w:rsidR="002450D5" w:rsidRPr="007E2FDD" w:rsidRDefault="004A53CA" w:rsidP="00A232EE">
      <w:pPr>
        <w:ind w:firstLine="720"/>
      </w:pPr>
      <w:r>
        <w:t xml:space="preserve"> </w:t>
      </w:r>
    </w:p>
    <w:p w:rsidR="002450D5" w:rsidRDefault="00A232EE" w:rsidP="003F28C6">
      <w:pPr>
        <w:ind w:firstLine="720"/>
      </w:pPr>
      <w:r>
        <w:t>The Cohen-Boyer intellectual property</w:t>
      </w:r>
      <w:r w:rsidR="002450D5">
        <w:t xml:space="preserve"> is actually a series of three separate patents for the rDNA process</w:t>
      </w:r>
      <w:r w:rsidR="00B13B17">
        <w:t>,</w:t>
      </w:r>
      <w:r w:rsidR="002450D5">
        <w:t xml:space="preserve"> as well as </w:t>
      </w:r>
      <w:r w:rsidR="004A53CA">
        <w:t>two</w:t>
      </w:r>
      <w:r w:rsidR="002450D5">
        <w:t xml:space="preserve"> rDNA products generated through the use of </w:t>
      </w:r>
      <w:hyperlink r:id="rId20" w:history="1">
        <w:r w:rsidR="002450D5" w:rsidRPr="00FE3BDF">
          <w:rPr>
            <w:rStyle w:val="Hyperlink"/>
          </w:rPr>
          <w:t>prokaryotic</w:t>
        </w:r>
      </w:hyperlink>
      <w:r w:rsidR="002450D5">
        <w:t xml:space="preserve"> and </w:t>
      </w:r>
      <w:hyperlink r:id="rId21" w:history="1">
        <w:r w:rsidR="002450D5" w:rsidRPr="00FE3BDF">
          <w:rPr>
            <w:rStyle w:val="Hyperlink"/>
          </w:rPr>
          <w:t>eukaryotic</w:t>
        </w:r>
      </w:hyperlink>
      <w:r w:rsidR="002450D5">
        <w:t xml:space="preserve"> cells. </w:t>
      </w:r>
      <w:r>
        <w:t xml:space="preserve"> </w:t>
      </w:r>
      <w:r w:rsidR="002450D5">
        <w:t>Collectively, they have been referred to as “the most successful patent…in the entire history of university licensing,”</w:t>
      </w:r>
      <w:r w:rsidR="002450D5">
        <w:rPr>
          <w:rStyle w:val="FootnoteReference"/>
        </w:rPr>
        <w:footnoteReference w:id="8"/>
      </w:r>
      <w:r w:rsidR="002450D5">
        <w:t xml:space="preserve"> and the “gold standard”</w:t>
      </w:r>
      <w:r w:rsidR="002450D5">
        <w:rPr>
          <w:rStyle w:val="FootnoteReference"/>
        </w:rPr>
        <w:footnoteReference w:id="9"/>
      </w:r>
      <w:r w:rsidR="002450D5">
        <w:t xml:space="preserve"> of university technology transfer. </w:t>
      </w:r>
      <w:r>
        <w:t xml:space="preserve"> </w:t>
      </w:r>
      <w:r w:rsidR="002450D5">
        <w:t xml:space="preserve">The Cohen-Boyer </w:t>
      </w:r>
      <w:proofErr w:type="spellStart"/>
      <w:r w:rsidR="002450D5">
        <w:t>rDNA</w:t>
      </w:r>
      <w:proofErr w:type="spellEnd"/>
      <w:r w:rsidR="002450D5">
        <w:t xml:space="preserve"> patents operated from 1980 through 1997 and contributed to the creation of over 2400 products by over 460 companies.</w:t>
      </w:r>
      <w:r w:rsidR="002450D5">
        <w:rPr>
          <w:rStyle w:val="FootnoteReference"/>
        </w:rPr>
        <w:footnoteReference w:id="10"/>
      </w:r>
      <w:r w:rsidR="002450D5">
        <w:t xml:space="preserve"> </w:t>
      </w:r>
      <w:r>
        <w:t xml:space="preserve"> </w:t>
      </w:r>
      <w:r w:rsidR="002450D5">
        <w:t>This tremendous productivity netted over $250 million in licensing revenues for Stanford and UCSF, off of a base of $35 billion in international product sales.</w:t>
      </w:r>
      <w:r w:rsidR="004A53CA">
        <w:rPr>
          <w:rStyle w:val="FootnoteReference"/>
        </w:rPr>
        <w:footnoteReference w:id="11"/>
      </w:r>
    </w:p>
    <w:p w:rsidR="00A232EE" w:rsidRDefault="00A232EE" w:rsidP="003F28C6">
      <w:pPr>
        <w:ind w:firstLine="720"/>
      </w:pPr>
    </w:p>
    <w:p w:rsidR="004A53CA" w:rsidRDefault="004A53CA" w:rsidP="003F28C6">
      <w:pPr>
        <w:ind w:firstLine="720"/>
      </w:pPr>
      <w:r>
        <w:t xml:space="preserve">Convinced </w:t>
      </w:r>
      <w:r w:rsidR="002450D5">
        <w:t xml:space="preserve">by technology transfer pioneer </w:t>
      </w:r>
      <w:hyperlink r:id="rId22" w:history="1">
        <w:r w:rsidR="002450D5" w:rsidRPr="002A6CF7">
          <w:rPr>
            <w:rStyle w:val="Hyperlink"/>
          </w:rPr>
          <w:t>Niels Reimers</w:t>
        </w:r>
      </w:hyperlink>
      <w:r>
        <w:t>, founder</w:t>
      </w:r>
      <w:r w:rsidR="002450D5">
        <w:t xml:space="preserve"> of the Stanford </w:t>
      </w:r>
      <w:hyperlink r:id="rId23" w:history="1">
        <w:r w:rsidR="002450D5" w:rsidRPr="004E459F">
          <w:rPr>
            <w:rStyle w:val="Hyperlink"/>
          </w:rPr>
          <w:t>Office of Technology Licensing</w:t>
        </w:r>
      </w:hyperlink>
      <w:r w:rsidR="002450D5">
        <w:t xml:space="preserve"> (OTL), </w:t>
      </w:r>
      <w:r>
        <w:t xml:space="preserve">of the value of patenting their invention, Cohen and Boyer agreed to allow </w:t>
      </w:r>
      <w:r w:rsidR="002450D5">
        <w:t>Stanford and UCSF</w:t>
      </w:r>
      <w:r>
        <w:t xml:space="preserve"> to</w:t>
      </w:r>
      <w:r w:rsidR="00B13B17">
        <w:t xml:space="preserve"> </w:t>
      </w:r>
      <w:r w:rsidR="002450D5">
        <w:t>paten</w:t>
      </w:r>
      <w:r>
        <w:t>t</w:t>
      </w:r>
      <w:r w:rsidR="002450D5">
        <w:t xml:space="preserve"> the</w:t>
      </w:r>
      <w:r>
        <w:t>ir</w:t>
      </w:r>
      <w:r w:rsidR="002450D5">
        <w:t xml:space="preserve"> discovery</w:t>
      </w:r>
      <w:r w:rsidR="00B13B17">
        <w:t xml:space="preserve"> jointly</w:t>
      </w:r>
      <w:r>
        <w:t xml:space="preserve">. </w:t>
      </w:r>
      <w:r w:rsidR="00A232EE">
        <w:t xml:space="preserve"> </w:t>
      </w:r>
      <w:r>
        <w:t>In develo</w:t>
      </w:r>
      <w:r w:rsidR="00A232EE">
        <w:t>ping a strategy for managing this</w:t>
      </w:r>
      <w:r>
        <w:t xml:space="preserve"> valuable intellectual property, Reimers sought to balance the diverse goals of </w:t>
      </w:r>
      <w:r w:rsidR="00B20A34">
        <w:t xml:space="preserve">Stanford University. </w:t>
      </w:r>
      <w:r w:rsidR="00A232EE">
        <w:t xml:space="preserve"> </w:t>
      </w:r>
      <w:r w:rsidR="00B20A34">
        <w:t xml:space="preserve">In addition to maximizing revenue for future education and research expenditures, Reimers pursued an IP strategy that reflected Stanford’s public service ideals, promoted timely commercialization of the technology for public benefit and minimized the potential for biohazard. </w:t>
      </w:r>
      <w:r w:rsidR="00B20A34">
        <w:rPr>
          <w:rStyle w:val="FootnoteReference"/>
        </w:rPr>
        <w:footnoteReference w:id="12"/>
      </w:r>
      <w:r w:rsidR="00B20A34">
        <w:t xml:space="preserve">  </w:t>
      </w:r>
    </w:p>
    <w:p w:rsidR="00A232EE" w:rsidRDefault="00A232EE" w:rsidP="003F28C6">
      <w:pPr>
        <w:ind w:firstLine="720"/>
      </w:pPr>
    </w:p>
    <w:p w:rsidR="004A53CA" w:rsidRDefault="00B20A34" w:rsidP="003F28C6">
      <w:pPr>
        <w:ind w:firstLine="720"/>
      </w:pPr>
      <w:r>
        <w:t xml:space="preserve">To achieve these ends, </w:t>
      </w:r>
      <w:r w:rsidR="004A53CA">
        <w:t xml:space="preserve">Reimers opted </w:t>
      </w:r>
      <w:r>
        <w:t>for a</w:t>
      </w:r>
      <w:r w:rsidR="002450D5">
        <w:t xml:space="preserve"> non-exclusive licensing scheme that offered varying rates to </w:t>
      </w:r>
      <w:r w:rsidR="004A53CA">
        <w:t xml:space="preserve">companies based on </w:t>
      </w:r>
      <w:r w:rsidR="002450D5">
        <w:t xml:space="preserve">criteria such as </w:t>
      </w:r>
      <w:r w:rsidR="004A53CA">
        <w:t>firm</w:t>
      </w:r>
      <w:r w:rsidR="00A232EE">
        <w:t xml:space="preserve"> size and product category.  T</w:t>
      </w:r>
      <w:r w:rsidR="004A53CA">
        <w:t xml:space="preserve">here were four product categories: </w:t>
      </w:r>
      <w:r w:rsidR="002450D5">
        <w:t>basic genetic products, bulk products, end products a</w:t>
      </w:r>
      <w:r w:rsidR="00A232EE">
        <w:t>nd process improvement products</w:t>
      </w:r>
      <w:r w:rsidR="002450D5">
        <w:t>.</w:t>
      </w:r>
      <w:r w:rsidR="002450D5">
        <w:rPr>
          <w:rStyle w:val="FootnoteReference"/>
        </w:rPr>
        <w:footnoteReference w:id="13"/>
      </w:r>
      <w:r w:rsidR="002450D5">
        <w:t xml:space="preserve"> </w:t>
      </w:r>
      <w:r w:rsidR="00A232EE">
        <w:t xml:space="preserve"> </w:t>
      </w:r>
      <w:r>
        <w:t>Under the framework he articulated, Stanford and UCSF would also receive royalties on sales of final drug products in a novel arrangement known as “reach-through” licensing.</w:t>
      </w:r>
      <w:r>
        <w:rPr>
          <w:rStyle w:val="FootnoteReference"/>
        </w:rPr>
        <w:footnoteReference w:id="14"/>
      </w:r>
    </w:p>
    <w:p w:rsidR="00A232EE" w:rsidRDefault="00A232EE" w:rsidP="003F28C6">
      <w:pPr>
        <w:ind w:firstLine="720"/>
      </w:pPr>
    </w:p>
    <w:p w:rsidR="002450D5" w:rsidRDefault="002450D5" w:rsidP="003F28C6">
      <w:pPr>
        <w:ind w:firstLine="720"/>
      </w:pPr>
      <w:r>
        <w:t xml:space="preserve">Yet despite </w:t>
      </w:r>
      <w:r w:rsidR="00B20A34">
        <w:t>the</w:t>
      </w:r>
      <w:r>
        <w:t xml:space="preserve"> tremendous </w:t>
      </w:r>
      <w:r w:rsidR="00B20A34">
        <w:t>financial, academic and societal benefits associated with Reimers’ management of the Cohen-Boyer IP</w:t>
      </w:r>
      <w:r>
        <w:t>, U.S. research universities have</w:t>
      </w:r>
      <w:r w:rsidR="00B20A34">
        <w:t xml:space="preserve"> </w:t>
      </w:r>
      <w:r>
        <w:t xml:space="preserve">not followed Stanford’s lead. </w:t>
      </w:r>
      <w:r w:rsidR="00A232EE">
        <w:t xml:space="preserve"> Research universities</w:t>
      </w:r>
      <w:r>
        <w:t xml:space="preserve"> are </w:t>
      </w:r>
      <w:proofErr w:type="gramStart"/>
      <w:r>
        <w:t>oft-criticized</w:t>
      </w:r>
      <w:proofErr w:type="gramEnd"/>
      <w:r>
        <w:t xml:space="preserve"> for their “single-minded focus” on maximizing royalty revenues through exclusive licensing of university-owned patents.</w:t>
      </w:r>
      <w:r>
        <w:rPr>
          <w:rStyle w:val="FootnoteReference"/>
        </w:rPr>
        <w:footnoteReference w:id="15"/>
      </w:r>
      <w:r>
        <w:t xml:space="preserve"> </w:t>
      </w:r>
      <w:r w:rsidR="00A232EE">
        <w:t xml:space="preserve"> </w:t>
      </w:r>
      <w:r w:rsidR="00B20A34">
        <w:t xml:space="preserve">To understand why, we must look to the regulatory, cultural and academic framework in which university patenting today occurs. </w:t>
      </w:r>
    </w:p>
    <w:p w:rsidR="002450D5" w:rsidRDefault="002450D5" w:rsidP="003F28C6"/>
    <w:p w:rsidR="002450D5" w:rsidRDefault="002450D5" w:rsidP="003F28C6">
      <w:pPr>
        <w:rPr>
          <w:b/>
        </w:rPr>
      </w:pPr>
      <w:r>
        <w:rPr>
          <w:b/>
        </w:rPr>
        <w:t>Universities as a Unique Class of IP Owners</w:t>
      </w:r>
    </w:p>
    <w:p w:rsidR="00B13B17" w:rsidRDefault="002450D5" w:rsidP="003F28C6">
      <w:pPr>
        <w:rPr>
          <w:i/>
        </w:rPr>
      </w:pPr>
      <w:r>
        <w:rPr>
          <w:i/>
        </w:rPr>
        <w:t>Regulatory Framework</w:t>
      </w:r>
    </w:p>
    <w:p w:rsidR="002450D5" w:rsidRDefault="002450D5" w:rsidP="003F28C6">
      <w:pPr>
        <w:rPr>
          <w:i/>
        </w:rPr>
      </w:pPr>
    </w:p>
    <w:p w:rsidR="002450D5" w:rsidRDefault="00B13B17" w:rsidP="003F28C6">
      <w:r>
        <w:tab/>
        <w:t xml:space="preserve">The </w:t>
      </w:r>
      <w:r w:rsidR="002450D5">
        <w:t>ability of Stanford and UCSF to patent the Cohen-Boyer technology</w:t>
      </w:r>
      <w:r w:rsidR="00B20A34">
        <w:t xml:space="preserve"> in the first place</w:t>
      </w:r>
      <w:r w:rsidR="002450D5">
        <w:t xml:space="preserve"> turned in part on a landmark </w:t>
      </w:r>
      <w:hyperlink r:id="rId24" w:history="1">
        <w:r w:rsidR="002450D5" w:rsidRPr="009A658B">
          <w:rPr>
            <w:rStyle w:val="Hyperlink"/>
          </w:rPr>
          <w:t>Supreme Court</w:t>
        </w:r>
      </w:hyperlink>
      <w:r w:rsidR="002450D5">
        <w:t xml:space="preserve"> case decided in June of 1980, days before the Cohen-Boyer patent was filed</w:t>
      </w:r>
      <w:r w:rsidR="002450D5">
        <w:rPr>
          <w:rStyle w:val="FootnoteReference"/>
        </w:rPr>
        <w:footnoteReference w:id="16"/>
      </w:r>
      <w:r w:rsidR="002450D5">
        <w:t xml:space="preserve">. </w:t>
      </w:r>
      <w:r w:rsidR="00A232EE">
        <w:t xml:space="preserve"> </w:t>
      </w:r>
      <w:r w:rsidR="002450D5">
        <w:t xml:space="preserve">In </w:t>
      </w:r>
      <w:hyperlink r:id="rId25" w:history="1">
        <w:r w:rsidR="002450D5" w:rsidRPr="009A658B">
          <w:rPr>
            <w:rStyle w:val="Hyperlink"/>
            <w:i/>
          </w:rPr>
          <w:t>Diamond v. Chakrabarty</w:t>
        </w:r>
      </w:hyperlink>
      <w:r w:rsidR="002450D5">
        <w:rPr>
          <w:i/>
        </w:rPr>
        <w:t xml:space="preserve">, </w:t>
      </w:r>
      <w:r w:rsidR="002450D5">
        <w:t>the Supreme Court held that genetically engineered microorganisms were eligible for patent protection because they fell into the category of “anything under the sun that is made by man.”</w:t>
      </w:r>
      <w:r w:rsidR="002450D5">
        <w:rPr>
          <w:rStyle w:val="FootnoteReference"/>
        </w:rPr>
        <w:footnoteReference w:id="17"/>
      </w:r>
      <w:r w:rsidR="002450D5">
        <w:t xml:space="preserve">  </w:t>
      </w:r>
    </w:p>
    <w:p w:rsidR="00A232EE" w:rsidRDefault="00A232EE" w:rsidP="003F28C6"/>
    <w:p w:rsidR="002450D5" w:rsidRPr="009A658B" w:rsidRDefault="002450D5" w:rsidP="003F28C6">
      <w:r>
        <w:tab/>
        <w:t xml:space="preserve">Later that same year, the </w:t>
      </w:r>
      <w:hyperlink r:id="rId26" w:history="1">
        <w:r w:rsidRPr="008C291C">
          <w:rPr>
            <w:rStyle w:val="Hyperlink"/>
          </w:rPr>
          <w:t>Bayh-Dole Act</w:t>
        </w:r>
      </w:hyperlink>
      <w:r>
        <w:t xml:space="preserve"> marked a second major development </w:t>
      </w:r>
      <w:r w:rsidR="00B13B17">
        <w:t xml:space="preserve">in university patenting. </w:t>
      </w:r>
      <w:r w:rsidR="00A232EE">
        <w:t xml:space="preserve"> </w:t>
      </w:r>
      <w:r w:rsidR="00B13B17">
        <w:t xml:space="preserve">This law is designed </w:t>
      </w:r>
      <w:r>
        <w:t>to encourage the</w:t>
      </w:r>
      <w:r w:rsidR="001C7F4F">
        <w:t xml:space="preserve"> commercialization of </w:t>
      </w:r>
      <w:proofErr w:type="gramStart"/>
      <w:r w:rsidR="001C7F4F">
        <w:t>federally-</w:t>
      </w:r>
      <w:r>
        <w:t>sponsored</w:t>
      </w:r>
      <w:proofErr w:type="gramEnd"/>
      <w:r>
        <w:t xml:space="preserve"> research in the basic sciences by granting</w:t>
      </w:r>
      <w:r w:rsidR="001C7F4F">
        <w:t xml:space="preserve"> exclusive</w:t>
      </w:r>
      <w:r>
        <w:t xml:space="preserve"> patent rights to the university </w:t>
      </w:r>
      <w:r w:rsidR="001C7F4F">
        <w:t>hosting</w:t>
      </w:r>
      <w:r>
        <w:t xml:space="preserve"> the</w:t>
      </w:r>
      <w:r w:rsidR="001C7F4F">
        <w:t xml:space="preserve"> federally funded researchers. </w:t>
      </w:r>
      <w:r w:rsidR="00A232EE">
        <w:t xml:space="preserve"> </w:t>
      </w:r>
      <w:r>
        <w:t xml:space="preserve">While the Cohen-Boyer patent predates the Bayh-Dole Act by several months, the control exerted by Stanford over the patent prosecution, ownership and licensing previewed the dynamic that would become that norm in university </w:t>
      </w:r>
      <w:r w:rsidR="001C7F4F">
        <w:t xml:space="preserve">licensing following Bayh-Dole. </w:t>
      </w:r>
      <w:r w:rsidR="00A232EE">
        <w:t xml:space="preserve"> </w:t>
      </w:r>
      <w:r w:rsidR="001C7F4F">
        <w:t>Typically, the university will retain the rights to the intellectual property, reserving a certain percentage of revenues as royalties for the inventing professor and for his</w:t>
      </w:r>
      <w:r w:rsidR="00B13B17">
        <w:t xml:space="preserve"> or her</w:t>
      </w:r>
      <w:r w:rsidR="001C7F4F">
        <w:t xml:space="preserve"> laboratory.</w:t>
      </w:r>
      <w:r w:rsidR="001C7F4F">
        <w:rPr>
          <w:rStyle w:val="FootnoteReference"/>
        </w:rPr>
        <w:footnoteReference w:id="18"/>
      </w:r>
    </w:p>
    <w:p w:rsidR="002450D5" w:rsidRDefault="002450D5" w:rsidP="003F28C6">
      <w:pPr>
        <w:rPr>
          <w:i/>
        </w:rPr>
      </w:pPr>
    </w:p>
    <w:p w:rsidR="002450D5" w:rsidRDefault="002450D5" w:rsidP="003F28C6">
      <w:pPr>
        <w:rPr>
          <w:i/>
        </w:rPr>
      </w:pPr>
      <w:r>
        <w:rPr>
          <w:i/>
        </w:rPr>
        <w:t>Disparate Goals of the University</w:t>
      </w:r>
    </w:p>
    <w:p w:rsidR="00A232EE" w:rsidRDefault="002450D5" w:rsidP="003F28C6">
      <w:r>
        <w:tab/>
      </w:r>
    </w:p>
    <w:p w:rsidR="00B13B17" w:rsidRDefault="002450D5" w:rsidP="00A232EE">
      <w:pPr>
        <w:ind w:firstLine="720"/>
      </w:pPr>
      <w:r>
        <w:t xml:space="preserve">University leaders, like their counterparts in the non-profit and for-profit worlds, </w:t>
      </w:r>
      <w:r w:rsidR="00B13B17">
        <w:t xml:space="preserve">ought to seek IP strategies designed to achieve </w:t>
      </w:r>
      <w:r>
        <w:t xml:space="preserve">institutional goals. </w:t>
      </w:r>
      <w:r w:rsidR="00B13B17">
        <w:t xml:space="preserve"> This strategic process </w:t>
      </w:r>
      <w:r w:rsidR="00A232EE">
        <w:t>can be difficult to manage.  Each</w:t>
      </w:r>
      <w:r w:rsidR="00B13B17">
        <w:t xml:space="preserve"> university has a variety of goals and a range of views</w:t>
      </w:r>
      <w:r w:rsidR="00A232EE">
        <w:t xml:space="preserve"> among its leaders</w:t>
      </w:r>
      <w:r w:rsidR="00B13B17">
        <w:t xml:space="preserve"> as to which is the most important</w:t>
      </w:r>
      <w:r>
        <w:t xml:space="preserve">. </w:t>
      </w:r>
      <w:r w:rsidR="00B13B17">
        <w:t xml:space="preserve"> </w:t>
      </w:r>
    </w:p>
    <w:p w:rsidR="00A232EE" w:rsidRDefault="00A232EE" w:rsidP="00B13B17">
      <w:pPr>
        <w:ind w:firstLine="720"/>
      </w:pPr>
    </w:p>
    <w:p w:rsidR="002450D5" w:rsidRDefault="002450D5" w:rsidP="00B13B17">
      <w:pPr>
        <w:ind w:firstLine="720"/>
      </w:pPr>
      <w:r>
        <w:t xml:space="preserve">Institutions of higher education have </w:t>
      </w:r>
      <w:r w:rsidR="001C7F4F">
        <w:t>traditionally</w:t>
      </w:r>
      <w:r>
        <w:t xml:space="preserve"> focused on the creation and dissemination of knowledge.  At many schools, this </w:t>
      </w:r>
      <w:r w:rsidR="00A232EE">
        <w:t>historic focus</w:t>
      </w:r>
      <w:r>
        <w:t xml:space="preserve"> </w:t>
      </w:r>
      <w:r w:rsidR="00A232EE">
        <w:t>comes into conflict with</w:t>
      </w:r>
      <w:r w:rsidR="001C7F4F">
        <w:t xml:space="preserve"> contemporary</w:t>
      </w:r>
      <w:r>
        <w:t xml:space="preserve"> goals of </w:t>
      </w:r>
      <w:r w:rsidR="001C7F4F">
        <w:t xml:space="preserve">technology commercialization and </w:t>
      </w:r>
      <w:r>
        <w:t>revenue generation through patent licensing.</w:t>
      </w:r>
      <w:r w:rsidR="001C7F4F">
        <w:rPr>
          <w:rStyle w:val="FootnoteReference"/>
        </w:rPr>
        <w:footnoteReference w:id="19"/>
      </w:r>
      <w:r>
        <w:t xml:space="preserve"> </w:t>
      </w:r>
      <w:r w:rsidR="00A232EE">
        <w:t xml:space="preserve"> </w:t>
      </w:r>
      <w:r>
        <w:t xml:space="preserve">For example, while knowledge dissemination can often best be achieved through publication in a </w:t>
      </w:r>
      <w:hyperlink r:id="rId27" w:history="1">
        <w:r w:rsidRPr="001C7F4F">
          <w:rPr>
            <w:rStyle w:val="Hyperlink"/>
          </w:rPr>
          <w:t>scholarly journal</w:t>
        </w:r>
      </w:hyperlink>
      <w:r w:rsidR="00A232EE">
        <w:t>, such public disclosure can affect the manner in which the invention is available for</w:t>
      </w:r>
      <w:r>
        <w:t xml:space="preserve"> patent protection, thereby jeopardizing potential licensing revenues.</w:t>
      </w:r>
      <w:r>
        <w:rPr>
          <w:rStyle w:val="FootnoteReference"/>
        </w:rPr>
        <w:footnoteReference w:id="20"/>
      </w:r>
      <w:r>
        <w:t xml:space="preserve"> </w:t>
      </w:r>
      <w:r w:rsidR="00A232EE">
        <w:t xml:space="preserve"> </w:t>
      </w:r>
      <w:r w:rsidR="001C7F4F">
        <w:t>Further threatening knowledge dissemination</w:t>
      </w:r>
      <w:r>
        <w:t xml:space="preserve">, existing companies </w:t>
      </w:r>
      <w:r w:rsidR="001C7F4F">
        <w:t>seeking</w:t>
      </w:r>
      <w:r>
        <w:t xml:space="preserve"> exclusive license to a university-developed technology </w:t>
      </w:r>
      <w:r w:rsidR="001C7F4F">
        <w:t xml:space="preserve">may do so </w:t>
      </w:r>
      <w:r>
        <w:t xml:space="preserve">for the sole purpose of keeping the innovation </w:t>
      </w:r>
      <w:r>
        <w:rPr>
          <w:i/>
        </w:rPr>
        <w:t xml:space="preserve">away </w:t>
      </w:r>
      <w:r>
        <w:t xml:space="preserve">from a competitor </w:t>
      </w:r>
      <w:r w:rsidR="001C7F4F">
        <w:t>or</w:t>
      </w:r>
      <w:r>
        <w:t xml:space="preserve"> </w:t>
      </w:r>
      <w:r>
        <w:rPr>
          <w:i/>
        </w:rPr>
        <w:t xml:space="preserve">unavailable </w:t>
      </w:r>
      <w:r>
        <w:t>to consumers.</w:t>
      </w:r>
      <w:r>
        <w:rPr>
          <w:rStyle w:val="FootnoteReference"/>
        </w:rPr>
        <w:footnoteReference w:id="21"/>
      </w:r>
      <w:r>
        <w:t xml:space="preserve"> </w:t>
      </w:r>
    </w:p>
    <w:p w:rsidR="002450D5" w:rsidRDefault="002450D5" w:rsidP="003F28C6">
      <w:r>
        <w:tab/>
        <w:t>Though partner companies such as Genentech petitioned to secure exclusive licenses and accompanying windfall profi</w:t>
      </w:r>
      <w:r w:rsidR="001C7F4F">
        <w:t xml:space="preserve">ts, Stanford’s </w:t>
      </w:r>
      <w:r>
        <w:t xml:space="preserve">Niels Reimers pursued the non-exclusive patent </w:t>
      </w:r>
      <w:r w:rsidR="001C7F4F">
        <w:t>route for Cohen-Boyer</w:t>
      </w:r>
      <w:r>
        <w:t xml:space="preserve"> in order to pursue knowledge dissemination </w:t>
      </w:r>
      <w:r w:rsidRPr="00782D28">
        <w:rPr>
          <w:i/>
        </w:rPr>
        <w:t>through</w:t>
      </w:r>
      <w:r>
        <w:t xml:space="preserve"> commercialization.</w:t>
      </w:r>
      <w:r>
        <w:rPr>
          <w:rStyle w:val="FootnoteReference"/>
        </w:rPr>
        <w:footnoteReference w:id="22"/>
      </w:r>
      <w:r>
        <w:t xml:space="preserve"> Some credit the decision to license non-exclusively with allowing the entire </w:t>
      </w:r>
      <w:hyperlink r:id="rId28" w:history="1">
        <w:r w:rsidRPr="003B6364">
          <w:rPr>
            <w:rStyle w:val="Hyperlink"/>
          </w:rPr>
          <w:t>biotechnology industry</w:t>
        </w:r>
      </w:hyperlink>
      <w:r>
        <w:t xml:space="preserve"> to sprout.</w:t>
      </w:r>
      <w:r>
        <w:rPr>
          <w:rStyle w:val="FootnoteReference"/>
        </w:rPr>
        <w:footnoteReference w:id="23"/>
      </w:r>
    </w:p>
    <w:p w:rsidR="00A232EE" w:rsidRDefault="00A232EE" w:rsidP="003F28C6">
      <w:pPr>
        <w:ind w:firstLine="720"/>
      </w:pPr>
    </w:p>
    <w:p w:rsidR="002450D5" w:rsidRDefault="002450D5" w:rsidP="003F28C6">
      <w:pPr>
        <w:ind w:firstLine="720"/>
      </w:pPr>
      <w:r>
        <w:t xml:space="preserve">In 1989, Reimers incorporated an additional element of the contemporary research university’s mission, namely, </w:t>
      </w:r>
      <w:hyperlink r:id="rId29" w:history="1">
        <w:r w:rsidRPr="003B6364">
          <w:rPr>
            <w:rStyle w:val="Hyperlink"/>
          </w:rPr>
          <w:t>regional economic development</w:t>
        </w:r>
      </w:hyperlink>
      <w:r>
        <w:t>.</w:t>
      </w:r>
      <w:r w:rsidR="003B6364">
        <w:rPr>
          <w:rStyle w:val="FootnoteReference"/>
        </w:rPr>
        <w:footnoteReference w:id="24"/>
      </w:r>
      <w:r>
        <w:t xml:space="preserve"> </w:t>
      </w:r>
      <w:r w:rsidR="00A232EE">
        <w:t xml:space="preserve"> </w:t>
      </w:r>
      <w:r>
        <w:t>Recognizing the strength of the Cohen-Boyer technology to generate new start</w:t>
      </w:r>
      <w:r w:rsidR="003B6364">
        <w:t xml:space="preserve">-up companies, Reimers created more affordable </w:t>
      </w:r>
      <w:r>
        <w:t xml:space="preserve">royalty-provisions for small firms, yielding licensing agreements with over 200 fledgling firms, many of which were located in the nearby </w:t>
      </w:r>
      <w:hyperlink r:id="rId30" w:history="1">
        <w:r w:rsidR="003B6364" w:rsidRPr="003B6364">
          <w:rPr>
            <w:rStyle w:val="Hyperlink"/>
          </w:rPr>
          <w:t xml:space="preserve">San Francisco </w:t>
        </w:r>
        <w:r w:rsidRPr="003B6364">
          <w:rPr>
            <w:rStyle w:val="Hyperlink"/>
          </w:rPr>
          <w:t>bay area</w:t>
        </w:r>
      </w:hyperlink>
      <w:r>
        <w:t>.</w:t>
      </w:r>
      <w:r>
        <w:rPr>
          <w:rStyle w:val="FootnoteReference"/>
        </w:rPr>
        <w:footnoteReference w:id="25"/>
      </w:r>
    </w:p>
    <w:p w:rsidR="002450D5" w:rsidRDefault="002450D5" w:rsidP="003F28C6">
      <w:r>
        <w:tab/>
      </w:r>
    </w:p>
    <w:p w:rsidR="002450D5" w:rsidRDefault="00B13B17" w:rsidP="003F28C6">
      <w:pPr>
        <w:rPr>
          <w:i/>
        </w:rPr>
      </w:pPr>
      <w:r>
        <w:rPr>
          <w:i/>
        </w:rPr>
        <w:t>University IP Valuation and</w:t>
      </w:r>
      <w:r w:rsidR="002450D5">
        <w:rPr>
          <w:i/>
        </w:rPr>
        <w:t xml:space="preserve"> Strategy</w:t>
      </w:r>
    </w:p>
    <w:p w:rsidR="00A232EE" w:rsidRDefault="00A232EE" w:rsidP="003F28C6">
      <w:pPr>
        <w:ind w:firstLine="720"/>
      </w:pPr>
    </w:p>
    <w:p w:rsidR="002450D5" w:rsidRDefault="00A232EE" w:rsidP="003F28C6">
      <w:pPr>
        <w:ind w:firstLine="720"/>
      </w:pPr>
      <w:r>
        <w:t xml:space="preserve">There are many reasons why the Cohen-Boyer story does not lend itself to replication in all cases.  </w:t>
      </w:r>
      <w:r w:rsidR="002450D5">
        <w:t xml:space="preserve">According to participants in a forum hosted by the </w:t>
      </w:r>
      <w:hyperlink r:id="rId31" w:history="1">
        <w:r w:rsidR="002450D5" w:rsidRPr="00490B61">
          <w:rPr>
            <w:rStyle w:val="Hyperlink"/>
          </w:rPr>
          <w:t>National Academy of Sciences</w:t>
        </w:r>
      </w:hyperlink>
      <w:r w:rsidR="002450D5">
        <w:t>, the Coh</w:t>
      </w:r>
      <w:r>
        <w:t xml:space="preserve">en-Boyer patent strategy is hard to pursue because the </w:t>
      </w:r>
      <w:r w:rsidR="002450D5">
        <w:t xml:space="preserve">nature </w:t>
      </w:r>
      <w:r w:rsidR="00B13B17">
        <w:t>of the Cohen-Boyer technology</w:t>
      </w:r>
      <w:r>
        <w:t xml:space="preserve"> sets it apart from most advances</w:t>
      </w:r>
      <w:r w:rsidR="00B13B17">
        <w:t xml:space="preserve">.  The invention </w:t>
      </w:r>
      <w:r w:rsidR="002450D5">
        <w:t xml:space="preserve">was inexpensive to </w:t>
      </w:r>
      <w:r w:rsidR="00B13B17">
        <w:t>re-use;</w:t>
      </w:r>
      <w:r w:rsidR="002450D5">
        <w:t xml:space="preserve"> there were no alternative technologies</w:t>
      </w:r>
      <w:r w:rsidR="00B13B17">
        <w:t>;</w:t>
      </w:r>
      <w:r w:rsidR="002450D5">
        <w:t xml:space="preserve"> and the science was truly groundbreaking in nature.</w:t>
      </w:r>
      <w:r w:rsidR="002450D5">
        <w:rPr>
          <w:rStyle w:val="FootnoteReference"/>
        </w:rPr>
        <w:footnoteReference w:id="26"/>
      </w:r>
      <w:r w:rsidR="002450D5">
        <w:t xml:space="preserve"> </w:t>
      </w:r>
      <w:r>
        <w:t xml:space="preserve"> </w:t>
      </w:r>
      <w:r w:rsidR="002450D5">
        <w:t xml:space="preserve">Paradoxically, however, technology transfer directors throughout the nation </w:t>
      </w:r>
      <w:r w:rsidR="003B6364">
        <w:t>often</w:t>
      </w:r>
      <w:r w:rsidR="002450D5">
        <w:t xml:space="preserve"> treat </w:t>
      </w:r>
      <w:r w:rsidR="003B6364">
        <w:t>new discoveries</w:t>
      </w:r>
      <w:r w:rsidR="002450D5">
        <w:t xml:space="preserve"> as carrying Cohen-Boyer potential, and thereby requiring adequate patent protection to secure potential future revenue streams. </w:t>
      </w:r>
      <w:r>
        <w:t xml:space="preserve"> </w:t>
      </w:r>
      <w:r w:rsidR="003B6364">
        <w:t xml:space="preserve">No technology transfer director wants to face a university president having allowed the next </w:t>
      </w:r>
      <w:r w:rsidR="00B13B17">
        <w:t>Google to leave campus without having ensured that there’s an ongoing revenue stream or other payment associated with it</w:t>
      </w:r>
      <w:r w:rsidR="003B6364">
        <w:t xml:space="preserve">. </w:t>
      </w:r>
      <w:r w:rsidR="00B13B17">
        <w:t xml:space="preserve"> An overly aggressive </w:t>
      </w:r>
      <w:r w:rsidR="003B6364">
        <w:t>negotiating stance</w:t>
      </w:r>
      <w:r w:rsidR="00B13B17">
        <w:t>, though, can keep</w:t>
      </w:r>
      <w:r w:rsidR="003B6364">
        <w:t xml:space="preserve"> university-based technologies on laboratory shelves. </w:t>
      </w:r>
    </w:p>
    <w:p w:rsidR="00A232EE" w:rsidRDefault="00A232EE" w:rsidP="003F28C6">
      <w:pPr>
        <w:ind w:firstLine="720"/>
      </w:pPr>
    </w:p>
    <w:p w:rsidR="002450D5" w:rsidRDefault="002450D5" w:rsidP="003F28C6">
      <w:pPr>
        <w:ind w:firstLine="720"/>
      </w:pPr>
      <w:r>
        <w:t>Some scholars have pointed out the</w:t>
      </w:r>
      <w:r w:rsidR="00A232EE">
        <w:t xml:space="preserve"> difficulty, if not</w:t>
      </w:r>
      <w:r>
        <w:t xml:space="preserve"> impossibility</w:t>
      </w:r>
      <w:r w:rsidR="00A232EE">
        <w:t>,</w:t>
      </w:r>
      <w:r>
        <w:t xml:space="preserve"> of fair valuation of intellectual property in its early stages in university laboratories.</w:t>
      </w:r>
      <w:r>
        <w:rPr>
          <w:rStyle w:val="FootnoteReference"/>
        </w:rPr>
        <w:footnoteReference w:id="27"/>
      </w:r>
      <w:r>
        <w:t xml:space="preserve"> </w:t>
      </w:r>
      <w:r w:rsidR="00A232EE">
        <w:t xml:space="preserve"> </w:t>
      </w:r>
      <w:r>
        <w:t>Given this uncertainty, technology transfer officials looking at the historical record have noted that, at schools generating significant licensing revenues, those revenues sprout from relatively few “home run” patents.</w:t>
      </w:r>
      <w:r>
        <w:rPr>
          <w:rStyle w:val="FootnoteReference"/>
        </w:rPr>
        <w:footnoteReference w:id="28"/>
      </w:r>
      <w:r>
        <w:t xml:space="preserve"> </w:t>
      </w:r>
      <w:r w:rsidR="00A232EE">
        <w:t xml:space="preserve"> </w:t>
      </w:r>
      <w:r>
        <w:t>When the Cohen-Boyer patent expired in 1997, it represented a full 62% of Stanford’s licensing revenues and 27% of the entire University of California system’s licensing revenues.</w:t>
      </w:r>
      <w:r>
        <w:rPr>
          <w:rStyle w:val="FootnoteReference"/>
        </w:rPr>
        <w:footnoteReference w:id="29"/>
      </w:r>
      <w:r>
        <w:t xml:space="preserve"> </w:t>
      </w:r>
    </w:p>
    <w:p w:rsidR="002450D5" w:rsidRDefault="00A232EE" w:rsidP="003F28C6">
      <w:pPr>
        <w:ind w:firstLine="720"/>
      </w:pPr>
      <w:r>
        <w:t>Despite a general</w:t>
      </w:r>
      <w:r w:rsidR="002450D5">
        <w:t xml:space="preserve"> preference for exclusive licenses, </w:t>
      </w:r>
      <w:r>
        <w:t xml:space="preserve">some </w:t>
      </w:r>
      <w:r w:rsidR="002450D5">
        <w:t>uni</w:t>
      </w:r>
      <w:r>
        <w:t>versities have developed interesting</w:t>
      </w:r>
      <w:r w:rsidR="002450D5">
        <w:t xml:space="preserve"> alternatives over the years.</w:t>
      </w:r>
      <w:r>
        <w:t xml:space="preserve"> </w:t>
      </w:r>
      <w:r w:rsidR="002450D5">
        <w:t xml:space="preserve"> </w:t>
      </w:r>
      <w:hyperlink r:id="rId32" w:history="1">
        <w:r w:rsidR="002450D5" w:rsidRPr="007A7C90">
          <w:rPr>
            <w:rStyle w:val="Hyperlink"/>
          </w:rPr>
          <w:t>Carnegie-Mellon</w:t>
        </w:r>
      </w:hyperlink>
      <w:r w:rsidR="002450D5">
        <w:t xml:space="preserve"> employs a </w:t>
      </w:r>
      <w:hyperlink r:id="rId33" w:history="1">
        <w:r w:rsidR="002450D5" w:rsidRPr="00860C05">
          <w:rPr>
            <w:rStyle w:val="Hyperlink"/>
          </w:rPr>
          <w:t>standard agreement</w:t>
        </w:r>
      </w:hyperlink>
      <w:r w:rsidR="002450D5">
        <w:t xml:space="preserve"> entitling it to a 5% equity share of any spin-off company resulting from university-generated technology. </w:t>
      </w:r>
      <w:r w:rsidR="002450D5">
        <w:rPr>
          <w:rStyle w:val="FootnoteReference"/>
        </w:rPr>
        <w:footnoteReference w:id="30"/>
      </w:r>
      <w:r w:rsidR="00C63DC2">
        <w:t xml:space="preserve"> </w:t>
      </w:r>
      <w:r>
        <w:t xml:space="preserve"> </w:t>
      </w:r>
      <w:r w:rsidR="00C63DC2">
        <w:t>In 1998</w:t>
      </w:r>
      <w:r w:rsidR="002450D5">
        <w:t xml:space="preserve">, </w:t>
      </w:r>
      <w:hyperlink r:id="rId34" w:history="1">
        <w:r w:rsidR="002450D5" w:rsidRPr="00A2556A">
          <w:rPr>
            <w:rStyle w:val="Hyperlink"/>
          </w:rPr>
          <w:t>UC Berkeley</w:t>
        </w:r>
      </w:hyperlink>
      <w:r w:rsidR="002450D5">
        <w:t xml:space="preserve"> pursued a controversial but lucrative partnership with </w:t>
      </w:r>
      <w:hyperlink r:id="rId35" w:history="1">
        <w:r w:rsidR="002450D5" w:rsidRPr="00A2556A">
          <w:rPr>
            <w:rStyle w:val="Hyperlink"/>
          </w:rPr>
          <w:t>Novartis</w:t>
        </w:r>
      </w:hyperlink>
      <w:r w:rsidR="002450D5">
        <w:t xml:space="preserve">, </w:t>
      </w:r>
      <w:r w:rsidR="0056601A">
        <w:t>receiving</w:t>
      </w:r>
      <w:r w:rsidR="002450D5">
        <w:t xml:space="preserve"> $25 million in cash over five years</w:t>
      </w:r>
      <w:r w:rsidR="00C63DC2">
        <w:t xml:space="preserve"> in exchange </w:t>
      </w:r>
      <w:r w:rsidR="002450D5">
        <w:t xml:space="preserve">for seats on the </w:t>
      </w:r>
      <w:hyperlink r:id="rId36" w:history="1">
        <w:r w:rsidR="002450D5" w:rsidRPr="00A2556A">
          <w:rPr>
            <w:rStyle w:val="Hyperlink"/>
          </w:rPr>
          <w:t>Plant and Microbial Biology department</w:t>
        </w:r>
      </w:hyperlink>
      <w:r w:rsidR="002450D5">
        <w:t xml:space="preserve"> research committee and exclusive licenses to one-third of university-owned patents resulting from departmental research. </w:t>
      </w:r>
      <w:r w:rsidR="002450D5">
        <w:rPr>
          <w:rStyle w:val="FootnoteReference"/>
        </w:rPr>
        <w:footnoteReference w:id="31"/>
      </w:r>
      <w:r w:rsidR="002450D5">
        <w:t xml:space="preserve"> Stanford, for its part, continued to lead IP strategy innovation with its </w:t>
      </w:r>
      <w:hyperlink r:id="rId37" w:history="1">
        <w:r w:rsidR="002450D5" w:rsidRPr="00A2556A">
          <w:rPr>
            <w:rStyle w:val="Hyperlink"/>
          </w:rPr>
          <w:t>Engineering Portfolio of Inventions for Commercialization</w:t>
        </w:r>
      </w:hyperlink>
      <w:r w:rsidR="002450D5">
        <w:t xml:space="preserve"> (EPIC) program. Instead of charging royalties on the finished product down the road (as Stanford did with Cohen-Boyer), the EPIC program pooled licenses, allowing industry partners to “subscribe” to a portfolio of intellectual property assets and receive non-exclusive license to it in exchange for a single up-front payment. </w:t>
      </w:r>
    </w:p>
    <w:p w:rsidR="002450D5" w:rsidRDefault="002450D5" w:rsidP="003F28C6"/>
    <w:p w:rsidR="002450D5" w:rsidRDefault="002450D5" w:rsidP="003F28C6"/>
    <w:p w:rsidR="002450D5" w:rsidRDefault="002450D5" w:rsidP="003F28C6">
      <w:r>
        <w:rPr>
          <w:b/>
        </w:rPr>
        <w:t xml:space="preserve">Looking Forward: the Politics of Innovation </w:t>
      </w:r>
    </w:p>
    <w:p w:rsidR="00A232EE" w:rsidRDefault="002450D5" w:rsidP="003F28C6">
      <w:r>
        <w:tab/>
      </w:r>
    </w:p>
    <w:p w:rsidR="002450D5" w:rsidRDefault="002450D5" w:rsidP="00A232EE">
      <w:pPr>
        <w:ind w:firstLine="720"/>
      </w:pPr>
      <w:r>
        <w:t>Given the existing incentive structure facing research universities, a wholesale</w:t>
      </w:r>
      <w:r w:rsidR="00B13B17">
        <w:t xml:space="preserve"> move from exclusive licensing remains unlikely without a</w:t>
      </w:r>
      <w:r w:rsidR="00C63DC2">
        <w:t xml:space="preserve"> fundamental</w:t>
      </w:r>
      <w:r>
        <w:t xml:space="preserve"> change</w:t>
      </w:r>
      <w:r w:rsidR="00B13B17">
        <w:t xml:space="preserve"> in perspective or the background law. </w:t>
      </w:r>
      <w:r w:rsidR="00A232EE">
        <w:t xml:space="preserve"> </w:t>
      </w:r>
      <w:r w:rsidR="00B13B17">
        <w:t xml:space="preserve">Such change could be prompted by </w:t>
      </w:r>
      <w:r>
        <w:t>a larger regulatory shift or a shift in funding methods. The Bayh-Dole Act has been criticized by some for creating an “</w:t>
      </w:r>
      <w:hyperlink r:id="rId38" w:history="1">
        <w:r w:rsidRPr="009A294E">
          <w:rPr>
            <w:rStyle w:val="Hyperlink"/>
          </w:rPr>
          <w:t>anticommons</w:t>
        </w:r>
      </w:hyperlink>
      <w:r>
        <w:t xml:space="preserve">” of excessive patenting of upstream technologies, where new technologies cannot be developed due to the high cost of licensing necessary predicate technologies. </w:t>
      </w:r>
      <w:r>
        <w:rPr>
          <w:rStyle w:val="FootnoteReference"/>
        </w:rPr>
        <w:footnoteReference w:id="32"/>
      </w:r>
      <w:r w:rsidR="00A232EE">
        <w:t xml:space="preserve">  This kind of</w:t>
      </w:r>
      <w:r>
        <w:t xml:space="preserve"> impact could be imagined if the Cohen-Boyer patents had been exclusive rather than widely disseminated. After 30 years and significant technological development, the Act could be ripe for reform with </w:t>
      </w:r>
      <w:r w:rsidR="00C63DC2">
        <w:t>more open</w:t>
      </w:r>
      <w:r>
        <w:t xml:space="preserve"> licensing </w:t>
      </w:r>
      <w:r w:rsidR="00C63DC2">
        <w:t xml:space="preserve">identified as a goal. </w:t>
      </w:r>
    </w:p>
    <w:p w:rsidR="00A232EE" w:rsidRDefault="00A232EE" w:rsidP="003F28C6"/>
    <w:p w:rsidR="002450D5" w:rsidRPr="00A2556A" w:rsidRDefault="00B13B17" w:rsidP="003F28C6">
      <w:r>
        <w:tab/>
        <w:t>Funders may also affect the range of approaches that universities take when it comes to licensing</w:t>
      </w:r>
      <w:r w:rsidR="002450D5">
        <w:t xml:space="preserve">. Agencies such as the </w:t>
      </w:r>
      <w:hyperlink r:id="rId39" w:history="1">
        <w:r w:rsidR="002450D5" w:rsidRPr="009A294E">
          <w:rPr>
            <w:rStyle w:val="Hyperlink"/>
          </w:rPr>
          <w:t>National Institutes of Health</w:t>
        </w:r>
      </w:hyperlink>
      <w:r w:rsidR="002450D5">
        <w:t xml:space="preserve">, the </w:t>
      </w:r>
      <w:hyperlink r:id="rId40" w:history="1">
        <w:r w:rsidR="002450D5" w:rsidRPr="009A294E">
          <w:rPr>
            <w:rStyle w:val="Hyperlink"/>
          </w:rPr>
          <w:t>National Science Foundation</w:t>
        </w:r>
      </w:hyperlink>
      <w:r w:rsidR="002450D5">
        <w:t xml:space="preserve"> and </w:t>
      </w:r>
      <w:hyperlink r:id="rId41" w:history="1">
        <w:r w:rsidR="002450D5" w:rsidRPr="009A294E">
          <w:rPr>
            <w:rStyle w:val="Hyperlink"/>
          </w:rPr>
          <w:t>Department of Energy</w:t>
        </w:r>
      </w:hyperlink>
      <w:r w:rsidR="002450D5">
        <w:t xml:space="preserve"> all require elaborate applications from researchers seeking grants. As the federal government </w:t>
      </w:r>
      <w:hyperlink r:id="rId42" w:history="1">
        <w:r w:rsidR="002450D5" w:rsidRPr="00C63DC2">
          <w:rPr>
            <w:rStyle w:val="Hyperlink"/>
          </w:rPr>
          <w:t>increasingly focuses on innovation</w:t>
        </w:r>
      </w:hyperlink>
      <w:r w:rsidR="002450D5">
        <w:t xml:space="preserve"> and technology commercialization, these grant applications could begin to require upfront commitments on </w:t>
      </w:r>
      <w:r w:rsidR="00C63DC2">
        <w:t>creative strategies to deploy intellectual property to as to speed widespread commercialization</w:t>
      </w:r>
      <w:r w:rsidR="002450D5">
        <w:t xml:space="preserve">. </w:t>
      </w:r>
    </w:p>
    <w:p w:rsidR="00A232EE" w:rsidRDefault="00A232EE" w:rsidP="003F28C6"/>
    <w:p w:rsidR="004A53CA" w:rsidRDefault="00B13B17" w:rsidP="003F28C6">
      <w:r>
        <w:tab/>
        <w:t>Even absent changes in these external factors, universities ought to think broadly about the range of options with respect to intellectual property licensing beyond the standard exclusive license, with</w:t>
      </w:r>
      <w:r w:rsidR="002616FD">
        <w:t xml:space="preserve"> a view toward fulfilling </w:t>
      </w:r>
      <w:r>
        <w:t>institutional goals beyond revenue maximization.</w:t>
      </w:r>
      <w:r w:rsidR="007508F8">
        <w:t xml:space="preserve">  This kind of experimentation can lead to dividends that may or may not be easily captured on a university’s balance sheet, but may benefit humankind in ways that help to fulfill our universities’ deeper missions.</w:t>
      </w:r>
    </w:p>
    <w:sectPr w:rsidR="004A53CA" w:rsidSect="00FF6ACB">
      <w:footerReference w:type="default" r:id="rId43"/>
      <w:pgSz w:w="12240" w:h="15840"/>
      <w:pgMar w:top="1440" w:right="1440" w:bottom="1440" w:left="1440" w:gutter="0"/>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08F8" w:rsidRDefault="007508F8" w:rsidP="002450D5">
      <w:r>
        <w:separator/>
      </w:r>
    </w:p>
  </w:endnote>
  <w:endnote w:type="continuationSeparator" w:id="0">
    <w:p w:rsidR="007508F8" w:rsidRDefault="007508F8" w:rsidP="002450D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611465"/>
      <w:docPartObj>
        <w:docPartGallery w:val="Page Numbers (Bottom of Page)"/>
        <w:docPartUnique/>
      </w:docPartObj>
    </w:sdtPr>
    <w:sdtContent>
      <w:p w:rsidR="007508F8" w:rsidRDefault="007508F8">
        <w:pPr>
          <w:pStyle w:val="Footer"/>
          <w:jc w:val="right"/>
        </w:pPr>
        <w:fldSimple w:instr=" PAGE   \* MERGEFORMAT ">
          <w:r w:rsidR="009A1078">
            <w:rPr>
              <w:noProof/>
            </w:rPr>
            <w:t>5</w:t>
          </w:r>
        </w:fldSimple>
      </w:p>
    </w:sdtContent>
  </w:sdt>
  <w:p w:rsidR="007508F8" w:rsidRDefault="007508F8">
    <w:pPr>
      <w:pStyle w:val="Footer"/>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08F8" w:rsidRDefault="007508F8" w:rsidP="002450D5">
      <w:r>
        <w:separator/>
      </w:r>
    </w:p>
  </w:footnote>
  <w:footnote w:type="continuationSeparator" w:id="0">
    <w:p w:rsidR="007508F8" w:rsidRDefault="007508F8" w:rsidP="002450D5">
      <w:r>
        <w:continuationSeparator/>
      </w:r>
    </w:p>
  </w:footnote>
  <w:footnote w:id="1">
    <w:p w:rsidR="007508F8" w:rsidRPr="004E459F" w:rsidRDefault="007508F8" w:rsidP="002450D5">
      <w:pPr>
        <w:pStyle w:val="FootnoteText"/>
      </w:pPr>
      <w:r w:rsidRPr="004E459F">
        <w:rPr>
          <w:rStyle w:val="FootnoteReference"/>
        </w:rPr>
        <w:footnoteRef/>
      </w:r>
      <w:r w:rsidRPr="004E459F">
        <w:t xml:space="preserve"> </w:t>
      </w:r>
      <w:proofErr w:type="gramStart"/>
      <w:r w:rsidRPr="004E459F">
        <w:t>Chronicle of Higher Education, Almanac 2009</w:t>
      </w:r>
      <w:r>
        <w:t xml:space="preserve"> pg. 35.</w:t>
      </w:r>
      <w:proofErr w:type="gramEnd"/>
      <w:r>
        <w:t xml:space="preserve"> The bulk of this revenue came from NYU’s whopping $791 million in FY 2007 licensing revenue, of which a substantial part came from a </w:t>
      </w:r>
      <w:hyperlink r:id="rId1" w:history="1">
        <w:r w:rsidRPr="003F28C6">
          <w:rPr>
            <w:rStyle w:val="Hyperlink"/>
          </w:rPr>
          <w:t>one-time payment</w:t>
        </w:r>
      </w:hyperlink>
      <w:r>
        <w:t xml:space="preserve"> of $650 million for rights to the drug </w:t>
      </w:r>
      <w:hyperlink r:id="rId2" w:history="1">
        <w:proofErr w:type="spellStart"/>
        <w:r w:rsidRPr="003F28C6">
          <w:rPr>
            <w:rStyle w:val="Hyperlink"/>
          </w:rPr>
          <w:t>Remicade</w:t>
        </w:r>
        <w:proofErr w:type="spellEnd"/>
      </w:hyperlink>
      <w:r>
        <w:t xml:space="preserve">. The average licensing revenue of the top 10 performers, not including NYU, is about $75.7 million. </w:t>
      </w:r>
    </w:p>
  </w:footnote>
  <w:footnote w:id="2">
    <w:p w:rsidR="007508F8" w:rsidRPr="004E459F" w:rsidRDefault="007508F8" w:rsidP="002450D5">
      <w:pPr>
        <w:rPr>
          <w:sz w:val="20"/>
          <w:szCs w:val="20"/>
        </w:rPr>
      </w:pPr>
      <w:r w:rsidRPr="004E459F">
        <w:rPr>
          <w:rStyle w:val="FootnoteReference"/>
          <w:sz w:val="20"/>
          <w:szCs w:val="20"/>
        </w:rPr>
        <w:footnoteRef/>
      </w:r>
      <w:r w:rsidRPr="004E459F">
        <w:rPr>
          <w:sz w:val="20"/>
          <w:szCs w:val="20"/>
        </w:rPr>
        <w:t xml:space="preserve"> Saul </w:t>
      </w:r>
      <w:proofErr w:type="spellStart"/>
      <w:r w:rsidRPr="004E459F">
        <w:rPr>
          <w:sz w:val="20"/>
          <w:szCs w:val="20"/>
        </w:rPr>
        <w:t>Lach</w:t>
      </w:r>
      <w:proofErr w:type="spellEnd"/>
      <w:r w:rsidRPr="004E459F">
        <w:rPr>
          <w:sz w:val="20"/>
          <w:szCs w:val="20"/>
        </w:rPr>
        <w:t xml:space="preserve">, Mark </w:t>
      </w:r>
      <w:proofErr w:type="spellStart"/>
      <w:r w:rsidRPr="004E459F">
        <w:rPr>
          <w:sz w:val="20"/>
          <w:szCs w:val="20"/>
        </w:rPr>
        <w:t>Schankerman</w:t>
      </w:r>
      <w:proofErr w:type="spellEnd"/>
      <w:r w:rsidRPr="004E459F">
        <w:rPr>
          <w:sz w:val="20"/>
          <w:szCs w:val="20"/>
        </w:rPr>
        <w:t>: “Incentives and Invention in Universities,” Rand Journal of Economics, Vol. 39, No. 2, Summer 2008: Pgs. 403-433; pg. 403</w:t>
      </w:r>
    </w:p>
  </w:footnote>
  <w:footnote w:id="3">
    <w:p w:rsidR="007508F8" w:rsidRPr="004E459F" w:rsidRDefault="007508F8" w:rsidP="002450D5">
      <w:pPr>
        <w:rPr>
          <w:sz w:val="20"/>
          <w:szCs w:val="20"/>
        </w:rPr>
      </w:pPr>
      <w:r w:rsidRPr="004E459F">
        <w:rPr>
          <w:rStyle w:val="FootnoteReference"/>
          <w:sz w:val="20"/>
          <w:szCs w:val="20"/>
        </w:rPr>
        <w:footnoteRef/>
      </w:r>
      <w:r w:rsidRPr="004E459F">
        <w:rPr>
          <w:sz w:val="20"/>
          <w:szCs w:val="20"/>
        </w:rPr>
        <w:t xml:space="preserve"> John Lipinski, Marcel C. </w:t>
      </w:r>
      <w:proofErr w:type="spellStart"/>
      <w:r w:rsidRPr="004E459F">
        <w:rPr>
          <w:sz w:val="20"/>
          <w:szCs w:val="20"/>
        </w:rPr>
        <w:t>Minutolo</w:t>
      </w:r>
      <w:proofErr w:type="spellEnd"/>
      <w:r w:rsidRPr="004E459F">
        <w:rPr>
          <w:sz w:val="20"/>
          <w:szCs w:val="20"/>
        </w:rPr>
        <w:t>, Laura M. Crothers, “The Complex Relationship Driving Technology Transfer: The Potential Opportunities Missed by Universities”</w:t>
      </w:r>
      <w:r w:rsidRPr="004E459F">
        <w:rPr>
          <w:i/>
          <w:sz w:val="20"/>
          <w:szCs w:val="20"/>
        </w:rPr>
        <w:t xml:space="preserve"> Institute of Behavioral and Applied Management</w:t>
      </w:r>
      <w:r w:rsidRPr="004E459F">
        <w:rPr>
          <w:sz w:val="20"/>
          <w:szCs w:val="20"/>
        </w:rPr>
        <w:t>, 2008 pg. 482</w:t>
      </w:r>
    </w:p>
  </w:footnote>
  <w:footnote w:id="4">
    <w:p w:rsidR="007508F8" w:rsidRPr="004E459F" w:rsidRDefault="007508F8" w:rsidP="002450D5">
      <w:pPr>
        <w:rPr>
          <w:sz w:val="20"/>
          <w:szCs w:val="20"/>
        </w:rPr>
      </w:pPr>
      <w:r w:rsidRPr="004E459F">
        <w:rPr>
          <w:rStyle w:val="FootnoteReference"/>
          <w:sz w:val="20"/>
          <w:szCs w:val="20"/>
        </w:rPr>
        <w:footnoteRef/>
      </w:r>
      <w:r w:rsidRPr="004E459F">
        <w:rPr>
          <w:sz w:val="20"/>
          <w:szCs w:val="20"/>
        </w:rPr>
        <w:t xml:space="preserve"> See e.g. Jay P. </w:t>
      </w:r>
      <w:proofErr w:type="spellStart"/>
      <w:r w:rsidRPr="004E459F">
        <w:rPr>
          <w:sz w:val="20"/>
          <w:szCs w:val="20"/>
        </w:rPr>
        <w:t>Kesan</w:t>
      </w:r>
      <w:proofErr w:type="spellEnd"/>
      <w:r w:rsidRPr="004E459F">
        <w:rPr>
          <w:sz w:val="20"/>
          <w:szCs w:val="20"/>
        </w:rPr>
        <w:t xml:space="preserve">, “Transferring Innovation,” </w:t>
      </w:r>
      <w:r w:rsidRPr="004E459F">
        <w:rPr>
          <w:i/>
          <w:sz w:val="20"/>
          <w:szCs w:val="20"/>
        </w:rPr>
        <w:t xml:space="preserve">Fordham Law Review Vol. 77, pg. 2169; 2009; </w:t>
      </w:r>
      <w:r w:rsidRPr="004E459F">
        <w:rPr>
          <w:sz w:val="20"/>
          <w:szCs w:val="20"/>
        </w:rPr>
        <w:t xml:space="preserve">pg. 2169. </w:t>
      </w:r>
    </w:p>
  </w:footnote>
  <w:footnote w:id="5">
    <w:p w:rsidR="007508F8" w:rsidRPr="004E459F" w:rsidRDefault="007508F8" w:rsidP="002450D5">
      <w:pPr>
        <w:rPr>
          <w:sz w:val="20"/>
          <w:szCs w:val="20"/>
        </w:rPr>
      </w:pPr>
      <w:r w:rsidRPr="004E459F">
        <w:rPr>
          <w:rStyle w:val="FootnoteReference"/>
          <w:sz w:val="20"/>
          <w:szCs w:val="20"/>
        </w:rPr>
        <w:footnoteRef/>
      </w:r>
      <w:r w:rsidRPr="004E459F">
        <w:rPr>
          <w:sz w:val="20"/>
          <w:szCs w:val="20"/>
        </w:rPr>
        <w:t xml:space="preserve"> </w:t>
      </w:r>
      <w:proofErr w:type="spellStart"/>
      <w:proofErr w:type="gramStart"/>
      <w:r w:rsidRPr="004E459F">
        <w:rPr>
          <w:sz w:val="20"/>
          <w:szCs w:val="20"/>
        </w:rPr>
        <w:t>Rajendra</w:t>
      </w:r>
      <w:proofErr w:type="spellEnd"/>
      <w:r w:rsidRPr="004E459F">
        <w:rPr>
          <w:sz w:val="20"/>
          <w:szCs w:val="20"/>
        </w:rPr>
        <w:t xml:space="preserve"> K. </w:t>
      </w:r>
      <w:proofErr w:type="spellStart"/>
      <w:r w:rsidRPr="004E459F">
        <w:rPr>
          <w:sz w:val="20"/>
          <w:szCs w:val="20"/>
        </w:rPr>
        <w:t>Bera</w:t>
      </w:r>
      <w:proofErr w:type="spellEnd"/>
      <w:r w:rsidRPr="004E459F">
        <w:rPr>
          <w:sz w:val="20"/>
          <w:szCs w:val="20"/>
        </w:rPr>
        <w:t xml:space="preserve">, “The story of the Cohen-Boyer Patents,” </w:t>
      </w:r>
      <w:r w:rsidRPr="004E459F">
        <w:rPr>
          <w:i/>
          <w:sz w:val="20"/>
          <w:szCs w:val="20"/>
        </w:rPr>
        <w:t xml:space="preserve">Current Science, </w:t>
      </w:r>
      <w:r w:rsidRPr="004E459F">
        <w:rPr>
          <w:sz w:val="20"/>
          <w:szCs w:val="20"/>
        </w:rPr>
        <w:t>Vol. 96 no. 6, 25 March 2009.</w:t>
      </w:r>
      <w:proofErr w:type="gramEnd"/>
      <w:r w:rsidRPr="004E459F">
        <w:rPr>
          <w:sz w:val="20"/>
          <w:szCs w:val="20"/>
        </w:rPr>
        <w:t xml:space="preserve"> Pg. 760</w:t>
      </w:r>
    </w:p>
  </w:footnote>
  <w:footnote w:id="6">
    <w:p w:rsidR="007508F8" w:rsidRPr="004E459F" w:rsidRDefault="007508F8" w:rsidP="002450D5">
      <w:pPr>
        <w:pStyle w:val="FootnoteText"/>
      </w:pPr>
      <w:r w:rsidRPr="004E459F">
        <w:rPr>
          <w:rStyle w:val="FootnoteReference"/>
        </w:rPr>
        <w:footnoteRef/>
      </w:r>
      <w:r w:rsidRPr="004E459F">
        <w:t xml:space="preserve"> </w:t>
      </w:r>
      <w:proofErr w:type="spellStart"/>
      <w:r w:rsidRPr="004E459F">
        <w:t>Kesan</w:t>
      </w:r>
      <w:proofErr w:type="spellEnd"/>
      <w:r w:rsidRPr="004E459F">
        <w:t xml:space="preserve">. Pg. 2174 </w:t>
      </w:r>
    </w:p>
  </w:footnote>
  <w:footnote w:id="7">
    <w:p w:rsidR="007508F8" w:rsidRPr="004E459F" w:rsidRDefault="007508F8" w:rsidP="002450D5">
      <w:pPr>
        <w:pStyle w:val="FootnoteText"/>
      </w:pPr>
      <w:r w:rsidRPr="004E459F">
        <w:rPr>
          <w:rStyle w:val="FootnoteReference"/>
        </w:rPr>
        <w:footnoteRef/>
      </w:r>
      <w:r w:rsidRPr="004E459F">
        <w:t xml:space="preserve"> </w:t>
      </w:r>
      <w:proofErr w:type="spellStart"/>
      <w:proofErr w:type="gramStart"/>
      <w:r w:rsidRPr="004E459F">
        <w:t>Bera</w:t>
      </w:r>
      <w:proofErr w:type="spellEnd"/>
      <w:r w:rsidRPr="004E459F">
        <w:t xml:space="preserve"> pg. 1797.</w:t>
      </w:r>
      <w:proofErr w:type="gramEnd"/>
      <w:r w:rsidRPr="004E459F">
        <w:t xml:space="preserve"> </w:t>
      </w:r>
    </w:p>
  </w:footnote>
  <w:footnote w:id="8">
    <w:p w:rsidR="007508F8" w:rsidRPr="007E2FDD" w:rsidRDefault="007508F8" w:rsidP="002450D5">
      <w:pPr>
        <w:rPr>
          <w:sz w:val="20"/>
          <w:szCs w:val="20"/>
        </w:rPr>
      </w:pPr>
      <w:r w:rsidRPr="004E459F">
        <w:rPr>
          <w:rStyle w:val="FootnoteReference"/>
          <w:sz w:val="20"/>
          <w:szCs w:val="20"/>
        </w:rPr>
        <w:footnoteRef/>
      </w:r>
      <w:r w:rsidRPr="004E459F">
        <w:rPr>
          <w:sz w:val="20"/>
          <w:szCs w:val="20"/>
        </w:rPr>
        <w:t xml:space="preserve"> Commission on Life Sciences, “Intellectual Property Rights and Research Tools in Molecular Biology: Summary of a Workshop held at th</w:t>
      </w:r>
      <w:r w:rsidRPr="007E2FDD">
        <w:rPr>
          <w:sz w:val="20"/>
          <w:szCs w:val="20"/>
        </w:rPr>
        <w:t>e National Academy of Sciences, February 15-16, 1996” 1997.  Pg. 41</w:t>
      </w:r>
    </w:p>
  </w:footnote>
  <w:footnote w:id="9">
    <w:p w:rsidR="007508F8" w:rsidRPr="00FE3BDF" w:rsidRDefault="007508F8" w:rsidP="002450D5">
      <w:pPr>
        <w:rPr>
          <w:sz w:val="20"/>
          <w:szCs w:val="20"/>
        </w:rPr>
      </w:pPr>
      <w:r w:rsidRPr="007E2FDD">
        <w:rPr>
          <w:rStyle w:val="FootnoteReference"/>
          <w:sz w:val="20"/>
          <w:szCs w:val="20"/>
        </w:rPr>
        <w:footnoteRef/>
      </w:r>
      <w:r w:rsidRPr="007E2FDD">
        <w:rPr>
          <w:sz w:val="20"/>
          <w:szCs w:val="20"/>
        </w:rPr>
        <w:t xml:space="preserve"> Maryann P. Feldman, Alessandra </w:t>
      </w:r>
      <w:proofErr w:type="spellStart"/>
      <w:r w:rsidRPr="007E2FDD">
        <w:rPr>
          <w:sz w:val="20"/>
          <w:szCs w:val="20"/>
        </w:rPr>
        <w:t>Colaianni</w:t>
      </w:r>
      <w:proofErr w:type="spellEnd"/>
      <w:r w:rsidRPr="007E2FDD">
        <w:rPr>
          <w:sz w:val="20"/>
          <w:szCs w:val="20"/>
        </w:rPr>
        <w:t>, Connie Kang Liu, “Lessons from the Commercialization of the Cohen-Boyer Patents: The Stanford University Licensing Program” in Intellectual property management in Health and Agricultural Innovations: A handbook of best practices.” 2007 pg. 1797</w:t>
      </w:r>
    </w:p>
  </w:footnote>
  <w:footnote w:id="10">
    <w:p w:rsidR="007508F8" w:rsidRDefault="007508F8" w:rsidP="002450D5">
      <w:pPr>
        <w:pStyle w:val="FootnoteText"/>
      </w:pPr>
      <w:r>
        <w:rPr>
          <w:rStyle w:val="FootnoteReference"/>
        </w:rPr>
        <w:footnoteRef/>
      </w:r>
      <w:r>
        <w:t xml:space="preserve"> </w:t>
      </w:r>
      <w:proofErr w:type="gramStart"/>
      <w:r>
        <w:t>Feldman pg. 1797.</w:t>
      </w:r>
      <w:proofErr w:type="gramEnd"/>
      <w:r>
        <w:t xml:space="preserve"> </w:t>
      </w:r>
    </w:p>
  </w:footnote>
  <w:footnote w:id="11">
    <w:p w:rsidR="007508F8" w:rsidRPr="004A53CA" w:rsidRDefault="007508F8" w:rsidP="004A53CA">
      <w:pPr>
        <w:rPr>
          <w:sz w:val="20"/>
          <w:szCs w:val="20"/>
        </w:rPr>
      </w:pPr>
      <w:r w:rsidRPr="004A53CA">
        <w:rPr>
          <w:rStyle w:val="FootnoteReference"/>
          <w:sz w:val="20"/>
          <w:szCs w:val="20"/>
        </w:rPr>
        <w:footnoteRef/>
      </w:r>
      <w:r w:rsidRPr="004A53CA">
        <w:rPr>
          <w:sz w:val="20"/>
          <w:szCs w:val="20"/>
        </w:rPr>
        <w:t xml:space="preserve"> </w:t>
      </w:r>
      <w:proofErr w:type="spellStart"/>
      <w:r w:rsidRPr="004A53CA">
        <w:rPr>
          <w:sz w:val="20"/>
          <w:szCs w:val="20"/>
        </w:rPr>
        <w:t>Mariann</w:t>
      </w:r>
      <w:proofErr w:type="spellEnd"/>
      <w:r w:rsidRPr="004A53CA">
        <w:rPr>
          <w:sz w:val="20"/>
          <w:szCs w:val="20"/>
        </w:rPr>
        <w:t xml:space="preserve"> </w:t>
      </w:r>
      <w:proofErr w:type="spellStart"/>
      <w:r w:rsidRPr="004A53CA">
        <w:rPr>
          <w:sz w:val="20"/>
          <w:szCs w:val="20"/>
        </w:rPr>
        <w:t>Jelinek</w:t>
      </w:r>
      <w:proofErr w:type="spellEnd"/>
      <w:r w:rsidRPr="004A53CA">
        <w:rPr>
          <w:sz w:val="20"/>
          <w:szCs w:val="20"/>
        </w:rPr>
        <w:t xml:space="preserve">, Stephen Markham, “Industry-University IP Relations: Integrating Perspectives and Policy Solutions” </w:t>
      </w:r>
      <w:r w:rsidRPr="004A53CA">
        <w:rPr>
          <w:i/>
          <w:sz w:val="20"/>
          <w:szCs w:val="20"/>
        </w:rPr>
        <w:t>IEEE Transactions on Engineering Management, Vol. 54 No. 2, May 2007</w:t>
      </w:r>
      <w:r>
        <w:rPr>
          <w:sz w:val="20"/>
          <w:szCs w:val="20"/>
        </w:rPr>
        <w:t xml:space="preserve">.  Pg. 259. </w:t>
      </w:r>
    </w:p>
  </w:footnote>
  <w:footnote w:id="12">
    <w:p w:rsidR="007508F8" w:rsidRDefault="007508F8" w:rsidP="00B20A34">
      <w:pPr>
        <w:pStyle w:val="FootnoteText"/>
      </w:pPr>
      <w:r>
        <w:rPr>
          <w:rStyle w:val="FootnoteReference"/>
        </w:rPr>
        <w:footnoteRef/>
      </w:r>
      <w:r>
        <w:t xml:space="preserve"> </w:t>
      </w:r>
      <w:proofErr w:type="gramStart"/>
      <w:r>
        <w:t>Feldman pg. 1798.</w:t>
      </w:r>
      <w:proofErr w:type="gramEnd"/>
    </w:p>
  </w:footnote>
  <w:footnote w:id="13">
    <w:p w:rsidR="007508F8" w:rsidRDefault="007508F8" w:rsidP="002450D5">
      <w:pPr>
        <w:pStyle w:val="FootnoteText"/>
      </w:pPr>
      <w:r>
        <w:rPr>
          <w:rStyle w:val="FootnoteReference"/>
        </w:rPr>
        <w:footnoteRef/>
      </w:r>
      <w:r>
        <w:t xml:space="preserve"> </w:t>
      </w:r>
      <w:proofErr w:type="gramStart"/>
      <w:r>
        <w:t>Feldman pg. 1800.</w:t>
      </w:r>
      <w:proofErr w:type="gramEnd"/>
      <w:r>
        <w:t xml:space="preserve"> </w:t>
      </w:r>
    </w:p>
  </w:footnote>
  <w:footnote w:id="14">
    <w:p w:rsidR="007508F8" w:rsidRDefault="007508F8">
      <w:pPr>
        <w:pStyle w:val="FootnoteText"/>
      </w:pPr>
      <w:r>
        <w:rPr>
          <w:rStyle w:val="FootnoteReference"/>
        </w:rPr>
        <w:footnoteRef/>
      </w:r>
      <w:r>
        <w:t xml:space="preserve"> </w:t>
      </w:r>
      <w:proofErr w:type="gramStart"/>
      <w:r>
        <w:t>Feldman pg. 1800.</w:t>
      </w:r>
      <w:proofErr w:type="gramEnd"/>
      <w:r>
        <w:t xml:space="preserve"> </w:t>
      </w:r>
    </w:p>
  </w:footnote>
  <w:footnote w:id="15">
    <w:p w:rsidR="007508F8" w:rsidRDefault="007508F8" w:rsidP="002450D5">
      <w:pPr>
        <w:pStyle w:val="FootnoteText"/>
      </w:pPr>
      <w:r>
        <w:rPr>
          <w:rStyle w:val="FootnoteReference"/>
        </w:rPr>
        <w:footnoteRef/>
      </w:r>
      <w:r>
        <w:t xml:space="preserve"> See e.g. </w:t>
      </w:r>
      <w:proofErr w:type="spellStart"/>
      <w:r>
        <w:t>Kesan</w:t>
      </w:r>
      <w:proofErr w:type="spellEnd"/>
      <w:r>
        <w:t xml:space="preserve"> 2169. See also, Lipinski. </w:t>
      </w:r>
    </w:p>
  </w:footnote>
  <w:footnote w:id="16">
    <w:p w:rsidR="007508F8" w:rsidRDefault="007508F8" w:rsidP="002450D5">
      <w:pPr>
        <w:pStyle w:val="FootnoteText"/>
      </w:pPr>
      <w:r>
        <w:rPr>
          <w:rStyle w:val="FootnoteReference"/>
        </w:rPr>
        <w:footnoteRef/>
      </w:r>
      <w:r>
        <w:t xml:space="preserve"> </w:t>
      </w:r>
      <w:proofErr w:type="spellStart"/>
      <w:proofErr w:type="gramStart"/>
      <w:r>
        <w:t>Bera</w:t>
      </w:r>
      <w:proofErr w:type="spellEnd"/>
      <w:r>
        <w:t xml:space="preserve"> pg. 761.</w:t>
      </w:r>
      <w:proofErr w:type="gramEnd"/>
      <w:r>
        <w:t xml:space="preserve"> </w:t>
      </w:r>
    </w:p>
  </w:footnote>
  <w:footnote w:id="17">
    <w:p w:rsidR="007508F8" w:rsidRPr="004A53CA" w:rsidRDefault="007508F8" w:rsidP="002450D5">
      <w:pPr>
        <w:rPr>
          <w:sz w:val="20"/>
          <w:szCs w:val="20"/>
        </w:rPr>
      </w:pPr>
      <w:r w:rsidRPr="004A53CA">
        <w:rPr>
          <w:sz w:val="20"/>
          <w:szCs w:val="20"/>
        </w:rPr>
        <w:footnoteRef/>
      </w:r>
      <w:r w:rsidRPr="004A53CA">
        <w:rPr>
          <w:sz w:val="20"/>
          <w:szCs w:val="20"/>
        </w:rPr>
        <w:t xml:space="preserve"> </w:t>
      </w:r>
      <w:proofErr w:type="spellStart"/>
      <w:r w:rsidRPr="004A53CA">
        <w:rPr>
          <w:sz w:val="20"/>
          <w:szCs w:val="20"/>
        </w:rPr>
        <w:t>Arti</w:t>
      </w:r>
      <w:proofErr w:type="spellEnd"/>
      <w:r w:rsidRPr="004A53CA">
        <w:rPr>
          <w:sz w:val="20"/>
          <w:szCs w:val="20"/>
        </w:rPr>
        <w:t xml:space="preserve"> K. </w:t>
      </w:r>
      <w:proofErr w:type="spellStart"/>
      <w:r w:rsidRPr="004A53CA">
        <w:rPr>
          <w:sz w:val="20"/>
          <w:szCs w:val="20"/>
        </w:rPr>
        <w:t>Rai</w:t>
      </w:r>
      <w:proofErr w:type="spellEnd"/>
      <w:r w:rsidRPr="004A53CA">
        <w:rPr>
          <w:sz w:val="20"/>
          <w:szCs w:val="20"/>
        </w:rPr>
        <w:t xml:space="preserve"> &amp; Rebecca S. Eisenberg, </w:t>
      </w:r>
      <w:proofErr w:type="spellStart"/>
      <w:r w:rsidRPr="004A53CA">
        <w:rPr>
          <w:sz w:val="20"/>
          <w:szCs w:val="20"/>
        </w:rPr>
        <w:t>Bayh</w:t>
      </w:r>
      <w:proofErr w:type="spellEnd"/>
      <w:r w:rsidRPr="004A53CA">
        <w:rPr>
          <w:sz w:val="20"/>
          <w:szCs w:val="20"/>
        </w:rPr>
        <w:t xml:space="preserve">-Dole Reform and the Progress of Biomedicine, 66 L&amp; Contemp. Prob. 289 (2003) pg. 290. </w:t>
      </w:r>
    </w:p>
  </w:footnote>
  <w:footnote w:id="18">
    <w:p w:rsidR="007508F8" w:rsidRPr="001C7F4F" w:rsidRDefault="007508F8" w:rsidP="001C7F4F">
      <w:pPr>
        <w:rPr>
          <w:sz w:val="20"/>
          <w:szCs w:val="20"/>
        </w:rPr>
      </w:pPr>
      <w:r w:rsidRPr="001C7F4F">
        <w:rPr>
          <w:rStyle w:val="FootnoteReference"/>
          <w:sz w:val="20"/>
          <w:szCs w:val="20"/>
        </w:rPr>
        <w:footnoteRef/>
      </w:r>
      <w:r w:rsidRPr="001C7F4F">
        <w:rPr>
          <w:sz w:val="20"/>
          <w:szCs w:val="20"/>
        </w:rPr>
        <w:t xml:space="preserve"> </w:t>
      </w:r>
      <w:r>
        <w:rPr>
          <w:sz w:val="20"/>
          <w:szCs w:val="20"/>
        </w:rPr>
        <w:t xml:space="preserve">See </w:t>
      </w:r>
      <w:r w:rsidRPr="001C7F4F">
        <w:rPr>
          <w:sz w:val="20"/>
          <w:szCs w:val="20"/>
        </w:rPr>
        <w:t xml:space="preserve">Saul </w:t>
      </w:r>
      <w:proofErr w:type="spellStart"/>
      <w:r w:rsidRPr="001C7F4F">
        <w:rPr>
          <w:sz w:val="20"/>
          <w:szCs w:val="20"/>
        </w:rPr>
        <w:t>Lach</w:t>
      </w:r>
      <w:proofErr w:type="spellEnd"/>
      <w:r w:rsidRPr="001C7F4F">
        <w:rPr>
          <w:sz w:val="20"/>
          <w:szCs w:val="20"/>
        </w:rPr>
        <w:t xml:space="preserve">, Mark </w:t>
      </w:r>
      <w:proofErr w:type="spellStart"/>
      <w:r w:rsidRPr="001C7F4F">
        <w:rPr>
          <w:sz w:val="20"/>
          <w:szCs w:val="20"/>
        </w:rPr>
        <w:t>Schankerman</w:t>
      </w:r>
      <w:proofErr w:type="spellEnd"/>
      <w:r w:rsidRPr="001C7F4F">
        <w:rPr>
          <w:sz w:val="20"/>
          <w:szCs w:val="20"/>
        </w:rPr>
        <w:t xml:space="preserve">: “Incentives and Invention in Universities,” </w:t>
      </w:r>
      <w:r w:rsidRPr="001C7F4F">
        <w:rPr>
          <w:i/>
          <w:sz w:val="20"/>
          <w:szCs w:val="20"/>
        </w:rPr>
        <w:t>Rand Journal of Economics, Vol. 39, No. 2, Summer 2008: Pgs. 403-433</w:t>
      </w:r>
      <w:r>
        <w:rPr>
          <w:i/>
          <w:sz w:val="20"/>
          <w:szCs w:val="20"/>
        </w:rPr>
        <w:t xml:space="preserve"> </w:t>
      </w:r>
      <w:r>
        <w:rPr>
          <w:sz w:val="20"/>
          <w:szCs w:val="20"/>
        </w:rPr>
        <w:t>(discussing the use of inventor-royalties in university-licensing)</w:t>
      </w:r>
    </w:p>
  </w:footnote>
  <w:footnote w:id="19">
    <w:p w:rsidR="007508F8" w:rsidRPr="001C7F4F" w:rsidRDefault="007508F8" w:rsidP="001C7F4F">
      <w:pPr>
        <w:rPr>
          <w:sz w:val="20"/>
          <w:szCs w:val="20"/>
        </w:rPr>
      </w:pPr>
      <w:r w:rsidRPr="001C7F4F">
        <w:rPr>
          <w:rStyle w:val="FootnoteReference"/>
          <w:sz w:val="20"/>
          <w:szCs w:val="20"/>
        </w:rPr>
        <w:footnoteRef/>
      </w:r>
      <w:r w:rsidRPr="001C7F4F">
        <w:rPr>
          <w:sz w:val="20"/>
          <w:szCs w:val="20"/>
        </w:rPr>
        <w:t xml:space="preserve"> See e.g. </w:t>
      </w:r>
      <w:proofErr w:type="spellStart"/>
      <w:r w:rsidRPr="001C7F4F">
        <w:rPr>
          <w:sz w:val="20"/>
          <w:szCs w:val="20"/>
        </w:rPr>
        <w:t>Risa</w:t>
      </w:r>
      <w:proofErr w:type="spellEnd"/>
      <w:r w:rsidRPr="001C7F4F">
        <w:rPr>
          <w:sz w:val="20"/>
          <w:szCs w:val="20"/>
        </w:rPr>
        <w:t xml:space="preserve"> L. </w:t>
      </w:r>
      <w:proofErr w:type="spellStart"/>
      <w:r w:rsidRPr="001C7F4F">
        <w:rPr>
          <w:sz w:val="20"/>
          <w:szCs w:val="20"/>
        </w:rPr>
        <w:t>Lieberwitz</w:t>
      </w:r>
      <w:proofErr w:type="spellEnd"/>
      <w:r w:rsidRPr="001C7F4F">
        <w:rPr>
          <w:sz w:val="20"/>
          <w:szCs w:val="20"/>
        </w:rPr>
        <w:t xml:space="preserve">, “The Marketing of Higher Education: The price of the University’s Soul,” </w:t>
      </w:r>
      <w:r w:rsidRPr="001C7F4F">
        <w:rPr>
          <w:i/>
          <w:sz w:val="20"/>
          <w:szCs w:val="20"/>
        </w:rPr>
        <w:t xml:space="preserve">89 Cornell L. Rev. 763 </w:t>
      </w:r>
      <w:r w:rsidRPr="001C7F4F">
        <w:rPr>
          <w:sz w:val="20"/>
          <w:szCs w:val="20"/>
        </w:rPr>
        <w:t>(2004)</w:t>
      </w:r>
      <w:r>
        <w:rPr>
          <w:sz w:val="20"/>
          <w:szCs w:val="20"/>
        </w:rPr>
        <w:t xml:space="preserve">. </w:t>
      </w:r>
      <w:proofErr w:type="spellStart"/>
      <w:r>
        <w:rPr>
          <w:sz w:val="20"/>
          <w:szCs w:val="20"/>
        </w:rPr>
        <w:t>Lieberwitz</w:t>
      </w:r>
      <w:proofErr w:type="spellEnd"/>
      <w:r>
        <w:rPr>
          <w:sz w:val="20"/>
          <w:szCs w:val="20"/>
        </w:rPr>
        <w:t xml:space="preserve"> is highly skeptical of the increased ties between academia and industry, stating “commercialization of the university is a crisis for higher education,” pg. 798. </w:t>
      </w:r>
    </w:p>
  </w:footnote>
  <w:footnote w:id="20">
    <w:p w:rsidR="007508F8" w:rsidRDefault="007508F8" w:rsidP="002450D5">
      <w:pPr>
        <w:pStyle w:val="FootnoteText"/>
      </w:pPr>
      <w:r>
        <w:rPr>
          <w:rStyle w:val="FootnoteReference"/>
        </w:rPr>
        <w:footnoteRef/>
      </w:r>
      <w:r>
        <w:t xml:space="preserve"> See e.g. </w:t>
      </w:r>
      <w:proofErr w:type="spellStart"/>
      <w:r>
        <w:t>Lieberwitz</w:t>
      </w:r>
      <w:proofErr w:type="spellEnd"/>
    </w:p>
  </w:footnote>
  <w:footnote w:id="21">
    <w:p w:rsidR="007508F8" w:rsidRDefault="007508F8" w:rsidP="002450D5">
      <w:pPr>
        <w:pStyle w:val="FootnoteText"/>
      </w:pPr>
      <w:r>
        <w:rPr>
          <w:rStyle w:val="FootnoteReference"/>
        </w:rPr>
        <w:footnoteRef/>
      </w:r>
      <w:r>
        <w:t xml:space="preserve"> </w:t>
      </w:r>
      <w:proofErr w:type="spellStart"/>
      <w:r>
        <w:t>Jelinek</w:t>
      </w:r>
      <w:proofErr w:type="spellEnd"/>
      <w:r>
        <w:t>. Pg. 266</w:t>
      </w:r>
    </w:p>
  </w:footnote>
  <w:footnote w:id="22">
    <w:p w:rsidR="007508F8" w:rsidRDefault="007508F8" w:rsidP="002450D5">
      <w:pPr>
        <w:pStyle w:val="FootnoteText"/>
      </w:pPr>
      <w:r>
        <w:rPr>
          <w:rStyle w:val="FootnoteReference"/>
        </w:rPr>
        <w:footnoteRef/>
      </w:r>
      <w:r>
        <w:t xml:space="preserve"> Feldman. Pg. 1798</w:t>
      </w:r>
    </w:p>
  </w:footnote>
  <w:footnote w:id="23">
    <w:p w:rsidR="007508F8" w:rsidRDefault="007508F8" w:rsidP="002450D5">
      <w:pPr>
        <w:pStyle w:val="FootnoteText"/>
      </w:pPr>
      <w:r>
        <w:rPr>
          <w:rStyle w:val="FootnoteReference"/>
        </w:rPr>
        <w:footnoteRef/>
      </w:r>
      <w:r>
        <w:t xml:space="preserve"> </w:t>
      </w:r>
      <w:proofErr w:type="spellStart"/>
      <w:r>
        <w:t>Rai</w:t>
      </w:r>
      <w:proofErr w:type="spellEnd"/>
      <w:r>
        <w:t>. Pg. 300</w:t>
      </w:r>
    </w:p>
  </w:footnote>
  <w:footnote w:id="24">
    <w:p w:rsidR="007508F8" w:rsidRDefault="007508F8">
      <w:pPr>
        <w:pStyle w:val="FootnoteText"/>
      </w:pPr>
      <w:r>
        <w:rPr>
          <w:rStyle w:val="FootnoteReference"/>
        </w:rPr>
        <w:footnoteRef/>
      </w:r>
      <w:r>
        <w:t xml:space="preserve"> Regional economic development is an especially prominent in public university settings. For example, the State University of New York  (SUNY) recently adopted a new </w:t>
      </w:r>
      <w:hyperlink r:id="rId3" w:history="1">
        <w:r w:rsidRPr="003B6364">
          <w:rPr>
            <w:rStyle w:val="Hyperlink"/>
          </w:rPr>
          <w:t>strategic plan</w:t>
        </w:r>
      </w:hyperlink>
      <w:r>
        <w:t xml:space="preserve"> in which statewide economic development is a central pillar. Private, not-for-profit universities (such as Widener, the link provided above) have increasingly touted their economic development potential as well. Typically, the IP strategies pursued by public and private universities today are far more similar than they are different. </w:t>
      </w:r>
    </w:p>
  </w:footnote>
  <w:footnote w:id="25">
    <w:p w:rsidR="007508F8" w:rsidRDefault="007508F8" w:rsidP="002450D5">
      <w:pPr>
        <w:pStyle w:val="FootnoteText"/>
      </w:pPr>
      <w:r>
        <w:rPr>
          <w:rStyle w:val="FootnoteReference"/>
        </w:rPr>
        <w:footnoteRef/>
      </w:r>
      <w:r>
        <w:t xml:space="preserve"> Feldman pg. 1800</w:t>
      </w:r>
    </w:p>
  </w:footnote>
  <w:footnote w:id="26">
    <w:p w:rsidR="007508F8" w:rsidRPr="003B6364" w:rsidRDefault="007508F8" w:rsidP="003B6364">
      <w:pPr>
        <w:rPr>
          <w:sz w:val="20"/>
          <w:szCs w:val="20"/>
        </w:rPr>
      </w:pPr>
      <w:r w:rsidRPr="003B6364">
        <w:rPr>
          <w:rStyle w:val="FootnoteReference"/>
          <w:sz w:val="20"/>
          <w:szCs w:val="20"/>
        </w:rPr>
        <w:footnoteRef/>
      </w:r>
      <w:r w:rsidRPr="003B6364">
        <w:rPr>
          <w:sz w:val="20"/>
          <w:szCs w:val="20"/>
        </w:rPr>
        <w:t xml:space="preserve"> Commission on Life Sciences, “Intellectual Property Rights and Research Tools in Molecular Biology: Summary of a Workshop held at the National Academy of Sciences, February 15-16, 1996” 1997. </w:t>
      </w:r>
      <w:r>
        <w:rPr>
          <w:sz w:val="20"/>
          <w:szCs w:val="20"/>
        </w:rPr>
        <w:t>Pg. 41</w:t>
      </w:r>
    </w:p>
  </w:footnote>
  <w:footnote w:id="27">
    <w:p w:rsidR="007508F8" w:rsidRDefault="007508F8" w:rsidP="002450D5">
      <w:pPr>
        <w:pStyle w:val="FootnoteText"/>
      </w:pPr>
      <w:r>
        <w:rPr>
          <w:rStyle w:val="FootnoteReference"/>
        </w:rPr>
        <w:footnoteRef/>
      </w:r>
      <w:r>
        <w:t xml:space="preserve"> </w:t>
      </w:r>
      <w:proofErr w:type="spellStart"/>
      <w:r>
        <w:t>Jelinek</w:t>
      </w:r>
      <w:proofErr w:type="spellEnd"/>
      <w:r>
        <w:t xml:space="preserve"> pg. 262</w:t>
      </w:r>
    </w:p>
  </w:footnote>
  <w:footnote w:id="28">
    <w:p w:rsidR="007508F8" w:rsidRPr="00C63DC2" w:rsidRDefault="007508F8" w:rsidP="00C63DC2">
      <w:pPr>
        <w:rPr>
          <w:sz w:val="20"/>
          <w:szCs w:val="20"/>
        </w:rPr>
      </w:pPr>
      <w:r w:rsidRPr="00C63DC2">
        <w:rPr>
          <w:rStyle w:val="FootnoteReference"/>
          <w:sz w:val="20"/>
          <w:szCs w:val="20"/>
        </w:rPr>
        <w:footnoteRef/>
      </w:r>
      <w:r w:rsidRPr="00C63DC2">
        <w:rPr>
          <w:sz w:val="20"/>
          <w:szCs w:val="20"/>
        </w:rPr>
        <w:t xml:space="preserve"> See e.g. </w:t>
      </w:r>
      <w:proofErr w:type="spellStart"/>
      <w:r w:rsidRPr="00C63DC2">
        <w:rPr>
          <w:sz w:val="20"/>
          <w:szCs w:val="20"/>
        </w:rPr>
        <w:t>Annetine</w:t>
      </w:r>
      <w:proofErr w:type="spellEnd"/>
      <w:r w:rsidRPr="00C63DC2">
        <w:rPr>
          <w:sz w:val="20"/>
          <w:szCs w:val="20"/>
        </w:rPr>
        <w:t xml:space="preserve"> C. </w:t>
      </w:r>
      <w:proofErr w:type="spellStart"/>
      <w:r w:rsidRPr="00C63DC2">
        <w:rPr>
          <w:sz w:val="20"/>
          <w:szCs w:val="20"/>
        </w:rPr>
        <w:t>Gelijns</w:t>
      </w:r>
      <w:proofErr w:type="spellEnd"/>
      <w:r w:rsidRPr="00C63DC2">
        <w:rPr>
          <w:sz w:val="20"/>
          <w:szCs w:val="20"/>
        </w:rPr>
        <w:t xml:space="preserve">, Samuel O. Their, “Medical Innovation and Institutional Interdependence: Rethinking University-Industry Connections,” </w:t>
      </w:r>
      <w:r w:rsidRPr="00C63DC2">
        <w:rPr>
          <w:i/>
          <w:sz w:val="20"/>
          <w:szCs w:val="20"/>
        </w:rPr>
        <w:t>Journal of  the American Medical Association, January 2, 2002, Vol. 287 No. 1</w:t>
      </w:r>
      <w:r>
        <w:rPr>
          <w:i/>
          <w:sz w:val="20"/>
          <w:szCs w:val="20"/>
        </w:rPr>
        <w:t xml:space="preserve"> </w:t>
      </w:r>
      <w:r>
        <w:rPr>
          <w:sz w:val="20"/>
          <w:szCs w:val="20"/>
        </w:rPr>
        <w:t>pg. 75</w:t>
      </w:r>
    </w:p>
  </w:footnote>
  <w:footnote w:id="29">
    <w:p w:rsidR="007508F8" w:rsidRDefault="007508F8" w:rsidP="002450D5">
      <w:pPr>
        <w:pStyle w:val="FootnoteText"/>
      </w:pPr>
      <w:r>
        <w:rPr>
          <w:rStyle w:val="FootnoteReference"/>
        </w:rPr>
        <w:footnoteRef/>
      </w:r>
      <w:r>
        <w:t xml:space="preserve"> </w:t>
      </w:r>
      <w:proofErr w:type="spellStart"/>
      <w:r>
        <w:t>Jelinek</w:t>
      </w:r>
      <w:proofErr w:type="spellEnd"/>
      <w:r>
        <w:t xml:space="preserve"> pg. 259</w:t>
      </w:r>
    </w:p>
  </w:footnote>
  <w:footnote w:id="30">
    <w:p w:rsidR="007508F8" w:rsidRDefault="007508F8" w:rsidP="002450D5">
      <w:pPr>
        <w:pStyle w:val="FootnoteText"/>
      </w:pPr>
      <w:r>
        <w:rPr>
          <w:rStyle w:val="FootnoteReference"/>
        </w:rPr>
        <w:footnoteRef/>
      </w:r>
      <w:r>
        <w:t xml:space="preserve"> Lipinski pg. 119</w:t>
      </w:r>
    </w:p>
  </w:footnote>
  <w:footnote w:id="31">
    <w:p w:rsidR="007508F8" w:rsidRDefault="007508F8" w:rsidP="002450D5">
      <w:pPr>
        <w:pStyle w:val="FootnoteText"/>
      </w:pPr>
      <w:r>
        <w:rPr>
          <w:rStyle w:val="FootnoteReference"/>
        </w:rPr>
        <w:footnoteRef/>
      </w:r>
      <w:r>
        <w:t xml:space="preserve"> See e.g. </w:t>
      </w:r>
      <w:proofErr w:type="spellStart"/>
      <w:r>
        <w:t>Lieberwitz</w:t>
      </w:r>
      <w:proofErr w:type="spellEnd"/>
      <w:r>
        <w:t xml:space="preserve"> pg. 789</w:t>
      </w:r>
    </w:p>
  </w:footnote>
  <w:footnote w:id="32">
    <w:p w:rsidR="007508F8" w:rsidRDefault="007508F8" w:rsidP="002450D5">
      <w:pPr>
        <w:pStyle w:val="FootnoteText"/>
      </w:pPr>
      <w:r>
        <w:rPr>
          <w:rStyle w:val="FootnoteReference"/>
        </w:rPr>
        <w:footnoteRef/>
      </w:r>
      <w:r>
        <w:t xml:space="preserve"> </w:t>
      </w:r>
      <w:proofErr w:type="spellStart"/>
      <w:r>
        <w:t>Kesan</w:t>
      </w:r>
      <w:proofErr w:type="spellEnd"/>
      <w:r>
        <w:t xml:space="preserve"> pg. 2180</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oNotTrackMoves/>
  <w:defaultTabStop w:val="720"/>
  <w:characterSpacingControl w:val="doNotCompress"/>
  <w:footnotePr>
    <w:footnote w:id="-1"/>
    <w:footnote w:id="0"/>
  </w:footnotePr>
  <w:endnotePr>
    <w:endnote w:id="-1"/>
    <w:endnote w:id="0"/>
  </w:endnotePr>
  <w:compat/>
  <w:rsids>
    <w:rsidRoot w:val="002450D5"/>
    <w:rsid w:val="000E29A3"/>
    <w:rsid w:val="001C7F4F"/>
    <w:rsid w:val="002450D5"/>
    <w:rsid w:val="002616FD"/>
    <w:rsid w:val="002E45BA"/>
    <w:rsid w:val="003B35EB"/>
    <w:rsid w:val="003B6364"/>
    <w:rsid w:val="003F28C6"/>
    <w:rsid w:val="00481A6B"/>
    <w:rsid w:val="004A53CA"/>
    <w:rsid w:val="004F0913"/>
    <w:rsid w:val="0056601A"/>
    <w:rsid w:val="005909A4"/>
    <w:rsid w:val="00641BED"/>
    <w:rsid w:val="006B361D"/>
    <w:rsid w:val="006F59B9"/>
    <w:rsid w:val="007508F8"/>
    <w:rsid w:val="0090687C"/>
    <w:rsid w:val="009A1078"/>
    <w:rsid w:val="00A232EE"/>
    <w:rsid w:val="00A438AF"/>
    <w:rsid w:val="00B13B17"/>
    <w:rsid w:val="00B20A34"/>
    <w:rsid w:val="00B750EF"/>
    <w:rsid w:val="00C63DC2"/>
    <w:rsid w:val="00FF6ACB"/>
  </w:rsids>
  <m:mathPr>
    <m:mathFont m:val="Lucida Grande"/>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0D5"/>
    <w:pPr>
      <w:contextualSpacing/>
    </w:pPr>
    <w:rPr>
      <w:rFonts w:ascii="Times New Roman" w:hAnsi="Times New Roman"/>
      <w:sz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alloonText">
    <w:name w:val="Balloon Text"/>
    <w:basedOn w:val="Normal"/>
    <w:link w:val="BalloonTextChar"/>
    <w:uiPriority w:val="99"/>
    <w:semiHidden/>
    <w:unhideWhenUsed/>
    <w:rsid w:val="00613CA0"/>
    <w:rPr>
      <w:rFonts w:ascii="Lucida Grande" w:hAnsi="Lucida Grande"/>
      <w:sz w:val="18"/>
      <w:szCs w:val="18"/>
    </w:rPr>
  </w:style>
  <w:style w:type="character" w:customStyle="1" w:styleId="BalloonTextChar">
    <w:name w:val="Balloon Text Char"/>
    <w:basedOn w:val="DefaultParagraphFont"/>
    <w:link w:val="BalloonText"/>
    <w:uiPriority w:val="99"/>
    <w:semiHidden/>
    <w:rsid w:val="00613CA0"/>
    <w:rPr>
      <w:rFonts w:ascii="Lucida Grande" w:hAnsi="Lucida Grande"/>
      <w:sz w:val="18"/>
      <w:szCs w:val="18"/>
    </w:rPr>
  </w:style>
  <w:style w:type="paragraph" w:styleId="FootnoteText">
    <w:name w:val="footnote text"/>
    <w:basedOn w:val="Normal"/>
    <w:link w:val="FootnoteTextChar"/>
    <w:uiPriority w:val="99"/>
    <w:semiHidden/>
    <w:unhideWhenUsed/>
    <w:rsid w:val="002450D5"/>
    <w:rPr>
      <w:sz w:val="20"/>
      <w:szCs w:val="20"/>
    </w:rPr>
  </w:style>
  <w:style w:type="character" w:customStyle="1" w:styleId="FootnoteTextChar">
    <w:name w:val="Footnote Text Char"/>
    <w:basedOn w:val="DefaultParagraphFont"/>
    <w:link w:val="FootnoteText"/>
    <w:uiPriority w:val="99"/>
    <w:semiHidden/>
    <w:rsid w:val="002450D5"/>
    <w:rPr>
      <w:rFonts w:ascii="Times New Roman" w:hAnsi="Times New Roman"/>
      <w:sz w:val="20"/>
      <w:szCs w:val="20"/>
    </w:rPr>
  </w:style>
  <w:style w:type="character" w:styleId="FootnoteReference">
    <w:name w:val="footnote reference"/>
    <w:basedOn w:val="DefaultParagraphFont"/>
    <w:uiPriority w:val="99"/>
    <w:semiHidden/>
    <w:unhideWhenUsed/>
    <w:rsid w:val="002450D5"/>
    <w:rPr>
      <w:vertAlign w:val="superscript"/>
    </w:rPr>
  </w:style>
  <w:style w:type="character" w:styleId="Hyperlink">
    <w:name w:val="Hyperlink"/>
    <w:basedOn w:val="DefaultParagraphFont"/>
    <w:uiPriority w:val="99"/>
    <w:unhideWhenUsed/>
    <w:rsid w:val="002450D5"/>
    <w:rPr>
      <w:color w:val="0000FF" w:themeColor="hyperlink"/>
      <w:u w:val="single"/>
    </w:rPr>
  </w:style>
  <w:style w:type="paragraph" w:styleId="Footer">
    <w:name w:val="footer"/>
    <w:basedOn w:val="Normal"/>
    <w:link w:val="FooterChar"/>
    <w:uiPriority w:val="99"/>
    <w:unhideWhenUsed/>
    <w:rsid w:val="002450D5"/>
    <w:pPr>
      <w:tabs>
        <w:tab w:val="center" w:pos="4680"/>
        <w:tab w:val="right" w:pos="9360"/>
      </w:tabs>
    </w:pPr>
  </w:style>
  <w:style w:type="character" w:customStyle="1" w:styleId="FooterChar">
    <w:name w:val="Footer Char"/>
    <w:basedOn w:val="DefaultParagraphFont"/>
    <w:link w:val="Footer"/>
    <w:uiPriority w:val="99"/>
    <w:rsid w:val="002450D5"/>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5" Type="http://schemas.openxmlformats.org/officeDocument/2006/relationships/hyperlink" Target="http://www.novartis.com/" TargetMode="External"/><Relationship Id="rId31" Type="http://schemas.openxmlformats.org/officeDocument/2006/relationships/hyperlink" Target="http://www.nationalacademies.org/" TargetMode="External"/><Relationship Id="rId34" Type="http://schemas.openxmlformats.org/officeDocument/2006/relationships/hyperlink" Target="http://berkeley.edu/" TargetMode="External"/><Relationship Id="rId39" Type="http://schemas.openxmlformats.org/officeDocument/2006/relationships/hyperlink" Target="http://www.nih.gov/" TargetMode="External"/><Relationship Id="rId40" Type="http://schemas.openxmlformats.org/officeDocument/2006/relationships/hyperlink" Target="http://www.nsf.gov/" TargetMode="External"/><Relationship Id="rId7" Type="http://schemas.openxmlformats.org/officeDocument/2006/relationships/hyperlink" Target="http://www.nsf.gov/nsb/" TargetMode="External"/><Relationship Id="rId36" Type="http://schemas.openxmlformats.org/officeDocument/2006/relationships/hyperlink" Target="http://plantbio.berkeley.edu/" TargetMode="External"/><Relationship Id="rId43" Type="http://schemas.openxmlformats.org/officeDocument/2006/relationships/footer" Target="footer1.xml"/><Relationship Id="rId1" Type="http://schemas.openxmlformats.org/officeDocument/2006/relationships/customXml" Target="../customXml/item1.xml"/><Relationship Id="rId24" Type="http://schemas.openxmlformats.org/officeDocument/2006/relationships/hyperlink" Target="http://www.supremecourt.gov/" TargetMode="External"/><Relationship Id="rId25" Type="http://schemas.openxmlformats.org/officeDocument/2006/relationships/hyperlink" Target="http://supreme.justia.com/us/447/303/case.html" TargetMode="External"/><Relationship Id="rId8" Type="http://schemas.openxmlformats.org/officeDocument/2006/relationships/hyperlink" Target="http://www.google.com" TargetMode="External"/><Relationship Id="rId13" Type="http://schemas.openxmlformats.org/officeDocument/2006/relationships/hyperlink" Target="http://www.ucsf.edu/" TargetMode="External"/><Relationship Id="rId10" Type="http://schemas.openxmlformats.org/officeDocument/2006/relationships/hyperlink" Target="http://www.gene.com/gene/index.jsp?aq=f&amp;sourceid=chrome&amp;ie=UTF-8&amp;q=Genentech" TargetMode="External"/><Relationship Id="rId32" Type="http://schemas.openxmlformats.org/officeDocument/2006/relationships/hyperlink" Target="http://www.cmu.edu/index.shtml" TargetMode="External"/><Relationship Id="rId37" Type="http://schemas.openxmlformats.org/officeDocument/2006/relationships/hyperlink" Target="http://otl.stanford.edu/documents/otlar02.pdf" TargetMode="External"/><Relationship Id="rId12" Type="http://schemas.openxmlformats.org/officeDocument/2006/relationships/hyperlink" Target="http://www.stanford.edu/" TargetMode="External"/><Relationship Id="rId17" Type="http://schemas.openxmlformats.org/officeDocument/2006/relationships/hyperlink" Target="http://en.wikipedia.org/wiki/Insulin" TargetMode="External"/><Relationship Id="rId9" Type="http://schemas.openxmlformats.org/officeDocument/2006/relationships/hyperlink" Target="http://www.cirrus.com/en/" TargetMode="External"/><Relationship Id="rId18" Type="http://schemas.openxmlformats.org/officeDocument/2006/relationships/hyperlink" Target="http://www.pbs.org/wgbh/theymadeamerica/whomade/boyer_hi.html" TargetMode="External"/><Relationship Id="rId3" Type="http://schemas.openxmlformats.org/officeDocument/2006/relationships/settings" Target="settings.xml"/><Relationship Id="rId27" Type="http://schemas.openxmlformats.org/officeDocument/2006/relationships/hyperlink" Target="http://scholar.google.com/" TargetMode="External"/><Relationship Id="rId14" Type="http://schemas.openxmlformats.org/officeDocument/2006/relationships/hyperlink" Target="http://en.wikipedia.org/wiki/Stanley_Norman_Cohen" TargetMode="External"/><Relationship Id="rId23" Type="http://schemas.openxmlformats.org/officeDocument/2006/relationships/hyperlink" Target="http://otl.stanford.edu/" TargetMode="External"/><Relationship Id="rId4" Type="http://schemas.openxmlformats.org/officeDocument/2006/relationships/webSettings" Target="webSettings.xml"/><Relationship Id="rId28" Type="http://schemas.openxmlformats.org/officeDocument/2006/relationships/hyperlink" Target="http://www.bio.org/about_biotech/" TargetMode="External"/><Relationship Id="rId45" Type="http://schemas.openxmlformats.org/officeDocument/2006/relationships/theme" Target="theme/theme1.xml"/><Relationship Id="rId26" Type="http://schemas.openxmlformats.org/officeDocument/2006/relationships/hyperlink" Target="http://en.wikipedia.org/wiki/Bayh%E2%80%93Dole_Act" TargetMode="External"/><Relationship Id="rId30" Type="http://schemas.openxmlformats.org/officeDocument/2006/relationships/hyperlink" Target="http://en.wikipedia.org/wiki/San_Francisco_Bay_Area" TargetMode="External"/><Relationship Id="rId11" Type="http://schemas.openxmlformats.org/officeDocument/2006/relationships/hyperlink" Target="http://en.wikipedia.org/wiki/Recombinant_DNA" TargetMode="External"/><Relationship Id="rId42" Type="http://schemas.openxmlformats.org/officeDocument/2006/relationships/hyperlink" Target="http://www.whitehouse.gov/administration/eop/ostp" TargetMode="External"/><Relationship Id="rId29" Type="http://schemas.openxmlformats.org/officeDocument/2006/relationships/hyperlink" Target="http://www.widener.edu/civicmission/economicdevelopment/univtechpark.asp" TargetMode="External"/><Relationship Id="rId6" Type="http://schemas.openxmlformats.org/officeDocument/2006/relationships/endnotes" Target="endnotes.xml"/><Relationship Id="rId16" Type="http://schemas.openxmlformats.org/officeDocument/2006/relationships/hyperlink" Target="http://web.mit.edu/invent/a-winners/a-boyercohen.html" TargetMode="External"/><Relationship Id="rId33" Type="http://schemas.openxmlformats.org/officeDocument/2006/relationships/hyperlink" Target="http://www.cmu.edu/cttec/documents/spin-off-guidelines-cmu.doc" TargetMode="External"/><Relationship Id="rId44" Type="http://schemas.openxmlformats.org/officeDocument/2006/relationships/fontTable" Target="fontTable.xml"/><Relationship Id="rId41" Type="http://schemas.openxmlformats.org/officeDocument/2006/relationships/hyperlink" Target="http://www.energy.gov/" TargetMode="External"/><Relationship Id="rId5" Type="http://schemas.openxmlformats.org/officeDocument/2006/relationships/footnotes" Target="footnotes.xml"/><Relationship Id="rId15" Type="http://schemas.openxmlformats.org/officeDocument/2006/relationships/hyperlink" Target="http://en.wikipedia.org/wiki/Herbert_Boyer" TargetMode="External"/><Relationship Id="rId19" Type="http://schemas.openxmlformats.org/officeDocument/2006/relationships/hyperlink" Target="http://www.gene.com/gene/about/corporate/history/founders.html" TargetMode="External"/><Relationship Id="rId38" Type="http://schemas.openxmlformats.org/officeDocument/2006/relationships/hyperlink" Target="http://en.wikipedia.org/wiki/Tragedy_of_the_anticommons" TargetMode="External"/><Relationship Id="rId20" Type="http://schemas.openxmlformats.org/officeDocument/2006/relationships/hyperlink" Target="http://en.wikipedia.org/wiki/Prokaryote" TargetMode="External"/><Relationship Id="rId22" Type="http://schemas.openxmlformats.org/officeDocument/2006/relationships/hyperlink" Target="http://www.iphalloffame.com/inductees/2008/Niels_Reimers.aspx" TargetMode="External"/><Relationship Id="rId21" Type="http://schemas.openxmlformats.org/officeDocument/2006/relationships/hyperlink" Target="http://en.wikipedia.org/wiki/Eukaryote" TargetMode="External"/><Relationship Id="rId2" Type="http://schemas.openxmlformats.org/officeDocument/2006/relationships/styles" Target="styles.xml"/></Relationships>
</file>

<file path=word/_rels/footnotes.xml.rels><?xml version="1.0" encoding="UTF-8" standalone="yes"?>
<Relationships xmlns="http://schemas.openxmlformats.org/package/2006/relationships"><Relationship Id="rId2" Type="http://schemas.openxmlformats.org/officeDocument/2006/relationships/hyperlink" Target="http://topics.nytimes.com/topics/news/health/diseasesconditionsandhealthtopics/remicade_drug/index.html" TargetMode="External"/><Relationship Id="rId3" Type="http://schemas.openxmlformats.org/officeDocument/2006/relationships/hyperlink" Target="http://www.suny.edu/powerOfSuny/" TargetMode="External"/><Relationship Id="rId1" Type="http://schemas.openxmlformats.org/officeDocument/2006/relationships/hyperlink" Target="http://www.genomeweb.com/biotechtransferweek/nyu-sells-portion-royalty-interest-remicade-royalty-pharma-650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71AA2-A487-FA4F-9542-9B701D0A9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5</Pages>
  <Words>2599</Words>
  <Characters>10657</Characters>
  <Application>Microsoft Macintosh Word</Application>
  <DocSecurity>0</DocSecurity>
  <Lines>367</Lines>
  <Paragraphs>213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ddoktori</dc:creator>
  <cp:lastModifiedBy>John Palfrey</cp:lastModifiedBy>
  <cp:revision>3</cp:revision>
  <dcterms:created xsi:type="dcterms:W3CDTF">2011-01-28T16:01:00Z</dcterms:created>
  <dcterms:modified xsi:type="dcterms:W3CDTF">2011-02-22T15:16:00Z</dcterms:modified>
</cp:coreProperties>
</file>